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2C51" w:rsidRDefault="00DE5D1C">
      <w:pPr>
        <w:pStyle w:val="CRCoverPage"/>
        <w:tabs>
          <w:tab w:val="right" w:pos="9639"/>
        </w:tabs>
        <w:snapToGrid w:val="0"/>
        <w:spacing w:after="0"/>
        <w:rPr>
          <w:b/>
          <w:sz w:val="24"/>
          <w:szCs w:val="24"/>
        </w:rPr>
      </w:pPr>
      <w:bookmarkStart w:id="0" w:name="_Ref494746248"/>
      <w:r>
        <w:rPr>
          <w:b/>
          <w:sz w:val="24"/>
          <w:szCs w:val="24"/>
        </w:rPr>
        <w:t>3GPP TSG RAN Meeting #88e</w:t>
      </w:r>
      <w:r>
        <w:rPr>
          <w:b/>
          <w:sz w:val="24"/>
          <w:szCs w:val="24"/>
        </w:rPr>
        <w:tab/>
        <w:t xml:space="preserve"> </w:t>
      </w:r>
      <w:r>
        <w:rPr>
          <w:b/>
          <w:sz w:val="24"/>
          <w:szCs w:val="24"/>
          <w:lang w:val="en-US"/>
        </w:rPr>
        <w:t>RP-</w:t>
      </w:r>
      <w:r w:rsidR="00471B0B">
        <w:rPr>
          <w:b/>
          <w:sz w:val="24"/>
          <w:szCs w:val="24"/>
          <w:lang w:val="en-US"/>
        </w:rPr>
        <w:t>201054</w:t>
      </w:r>
    </w:p>
    <w:p w:rsidR="009E2C51" w:rsidRDefault="00DE5D1C">
      <w:pPr>
        <w:snapToGrid w:val="0"/>
        <w:spacing w:after="240"/>
        <w:rPr>
          <w:rFonts w:ascii="Arial" w:eastAsia="MS Mincho" w:hAnsi="Arial"/>
          <w:b/>
          <w:sz w:val="24"/>
          <w:szCs w:val="24"/>
          <w:lang w:val="en-GB"/>
        </w:rPr>
      </w:pPr>
      <w:r>
        <w:rPr>
          <w:rFonts w:ascii="Arial" w:hAnsi="Arial" w:cs="Arial"/>
          <w:b/>
          <w:sz w:val="24"/>
          <w:szCs w:val="24"/>
        </w:rPr>
        <w:t>Electronic Meeting, June 29- July 3, 2020</w:t>
      </w:r>
    </w:p>
    <w:p w:rsidR="009E2C51" w:rsidRDefault="00DE5D1C">
      <w:pPr>
        <w:tabs>
          <w:tab w:val="left" w:pos="1985"/>
        </w:tabs>
        <w:spacing w:after="0"/>
        <w:rPr>
          <w:rFonts w:ascii="Arial" w:hAnsi="Arial"/>
          <w:b/>
          <w:sz w:val="22"/>
          <w:szCs w:val="22"/>
        </w:rPr>
      </w:pPr>
      <w:r>
        <w:rPr>
          <w:rFonts w:ascii="Arial" w:hAnsi="Arial"/>
          <w:b/>
          <w:sz w:val="22"/>
          <w:szCs w:val="22"/>
        </w:rPr>
        <w:t xml:space="preserve">Source: </w:t>
      </w:r>
      <w:r>
        <w:rPr>
          <w:rFonts w:ascii="Arial" w:hAnsi="Arial"/>
          <w:b/>
          <w:sz w:val="22"/>
          <w:szCs w:val="22"/>
        </w:rPr>
        <w:tab/>
        <w:t xml:space="preserve">ZTE, </w:t>
      </w:r>
      <w:proofErr w:type="spellStart"/>
      <w:r>
        <w:rPr>
          <w:rFonts w:ascii="Arial" w:hAnsi="Arial"/>
          <w:b/>
          <w:sz w:val="22"/>
          <w:szCs w:val="22"/>
        </w:rPr>
        <w:t>Sanechips</w:t>
      </w:r>
      <w:proofErr w:type="spellEnd"/>
    </w:p>
    <w:p w:rsidR="009E2C51" w:rsidRDefault="00DE5D1C">
      <w:pPr>
        <w:spacing w:after="0"/>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t>Discussion on NR UE Features</w:t>
      </w:r>
    </w:p>
    <w:p w:rsidR="009E2C51" w:rsidRDefault="00DE5D1C">
      <w:pPr>
        <w:tabs>
          <w:tab w:val="left" w:pos="1985"/>
        </w:tabs>
        <w:spacing w:after="0"/>
        <w:rPr>
          <w:rFonts w:ascii="Arial" w:hAnsi="Arial"/>
          <w:b/>
          <w:sz w:val="22"/>
          <w:szCs w:val="22"/>
          <w:lang w:eastAsia="zh-CN"/>
        </w:rPr>
      </w:pPr>
      <w:r>
        <w:rPr>
          <w:rFonts w:ascii="Arial" w:hAnsi="Arial"/>
          <w:b/>
          <w:sz w:val="22"/>
          <w:szCs w:val="22"/>
        </w:rPr>
        <w:t>Agenda item:</w:t>
      </w:r>
      <w:r>
        <w:rPr>
          <w:rFonts w:ascii="Arial" w:hAnsi="Arial"/>
          <w:b/>
          <w:sz w:val="22"/>
          <w:szCs w:val="22"/>
        </w:rPr>
        <w:tab/>
        <w:t>9.12</w:t>
      </w:r>
    </w:p>
    <w:p w:rsidR="009E2C51" w:rsidRDefault="00DE5D1C">
      <w:pPr>
        <w:spacing w:after="240"/>
        <w:ind w:left="1990" w:hanging="1990"/>
        <w:rPr>
          <w:rFonts w:ascii="Arial" w:hAnsi="Arial"/>
          <w:b/>
          <w:sz w:val="22"/>
          <w:szCs w:val="22"/>
        </w:rPr>
      </w:pPr>
      <w:r>
        <w:rPr>
          <w:rFonts w:ascii="Arial" w:hAnsi="Arial"/>
          <w:b/>
          <w:sz w:val="22"/>
          <w:szCs w:val="22"/>
        </w:rPr>
        <w:t>Document for:</w:t>
      </w:r>
      <w:r>
        <w:rPr>
          <w:rFonts w:ascii="Arial" w:hAnsi="Arial"/>
          <w:b/>
          <w:sz w:val="22"/>
          <w:szCs w:val="22"/>
        </w:rPr>
        <w:tab/>
      </w:r>
      <w:bookmarkStart w:id="1" w:name="DocumentFor"/>
      <w:bookmarkEnd w:id="1"/>
      <w:r>
        <w:rPr>
          <w:rFonts w:ascii="Arial" w:hAnsi="Arial"/>
          <w:b/>
          <w:sz w:val="22"/>
          <w:szCs w:val="22"/>
        </w:rPr>
        <w:t>Discussion/Decision</w:t>
      </w:r>
    </w:p>
    <w:p w:rsidR="009E2C51" w:rsidRDefault="00DE5D1C">
      <w:pPr>
        <w:pStyle w:val="Heading1"/>
        <w:textAlignment w:val="auto"/>
      </w:pPr>
      <w:bookmarkStart w:id="2" w:name="_Ref4817"/>
      <w:r>
        <w:t>Introduction</w:t>
      </w:r>
      <w:bookmarkEnd w:id="0"/>
      <w:bookmarkEnd w:id="2"/>
    </w:p>
    <w:p w:rsidR="009E2C51" w:rsidRDefault="00DE5D1C">
      <w:pPr>
        <w:rPr>
          <w:lang w:val="en-GB" w:eastAsia="zh-CN"/>
        </w:rPr>
      </w:pPr>
      <w:r>
        <w:rPr>
          <w:lang w:val="en-GB" w:eastAsia="zh-CN"/>
        </w:rPr>
        <w:t>Till RAN1#101-e, most of the RAN1 UE features are</w:t>
      </w:r>
      <w:r w:rsidR="00050D2B">
        <w:rPr>
          <w:lang w:val="en-GB" w:eastAsia="zh-CN"/>
        </w:rPr>
        <w:t xml:space="preserve"> quite</w:t>
      </w:r>
      <w:r>
        <w:rPr>
          <w:lang w:val="en-GB" w:eastAsia="zh-CN"/>
        </w:rPr>
        <w:t xml:space="preserve"> stable after several rounds of email/e-meeting discussions. The latest Rel-16 NR RAN1 UE features can be found </w:t>
      </w:r>
      <w:r w:rsidR="00050D2B">
        <w:rPr>
          <w:lang w:val="en-GB" w:eastAsia="zh-CN"/>
        </w:rPr>
        <w:t xml:space="preserve">in </w:t>
      </w:r>
      <w:r>
        <w:rPr>
          <w:lang w:val="en-GB" w:eastAsia="zh-CN"/>
        </w:rPr>
        <w:fldChar w:fldCharType="begin"/>
      </w:r>
      <w:r>
        <w:rPr>
          <w:lang w:val="en-GB" w:eastAsia="zh-CN"/>
        </w:rPr>
        <w:instrText xml:space="preserve"> REF _Ref23862154 \n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Due to the limited time and tight </w:t>
      </w:r>
      <w:r w:rsidR="00AC52DD">
        <w:rPr>
          <w:rFonts w:hint="eastAsia"/>
          <w:lang w:val="en-GB" w:eastAsia="zh-CN"/>
        </w:rPr>
        <w:t>s</w:t>
      </w:r>
      <w:r w:rsidR="00AC52DD">
        <w:rPr>
          <w:lang w:val="en-GB" w:eastAsia="zh-CN"/>
        </w:rPr>
        <w:t>chedule</w:t>
      </w:r>
      <w:r>
        <w:rPr>
          <w:lang w:val="en-GB" w:eastAsia="zh-CN"/>
        </w:rPr>
        <w:t xml:space="preserve">, RAN1 mainly focused on issues with no ASN.1 impact in this quarter. There are still some open issues which may need further consideration. In this contribution, we provide </w:t>
      </w:r>
      <w:r w:rsidRPr="00555A03">
        <w:rPr>
          <w:lang w:val="en-GB" w:eastAsia="zh-CN"/>
        </w:rPr>
        <w:t xml:space="preserve">some views on the structure of Rel-16 </w:t>
      </w:r>
      <w:r w:rsidRPr="00555A03">
        <w:rPr>
          <w:rFonts w:hint="eastAsia"/>
          <w:lang w:eastAsia="zh-CN"/>
        </w:rPr>
        <w:t xml:space="preserve">URLLC </w:t>
      </w:r>
      <w:r w:rsidRPr="00555A03">
        <w:rPr>
          <w:lang w:val="en-GB" w:eastAsia="zh-CN"/>
        </w:rPr>
        <w:t>UE features and some remaining issues which may need RAN discussion.</w:t>
      </w:r>
    </w:p>
    <w:p w:rsidR="009E2C51" w:rsidRDefault="00DE5D1C">
      <w:pPr>
        <w:pStyle w:val="Heading1"/>
        <w:rPr>
          <w:lang w:eastAsia="zh-CN"/>
        </w:rPr>
      </w:pPr>
      <w:r>
        <w:rPr>
          <w:rFonts w:hint="eastAsia"/>
          <w:lang w:val="en-US" w:eastAsia="zh-CN"/>
        </w:rPr>
        <w:t>O</w:t>
      </w:r>
      <w:r>
        <w:rPr>
          <w:lang w:eastAsia="zh-CN"/>
        </w:rPr>
        <w:t>n structure of Rel-16 UE features</w:t>
      </w:r>
      <w:r>
        <w:rPr>
          <w:rFonts w:hint="eastAsia"/>
          <w:lang w:val="en-US" w:eastAsia="zh-CN"/>
        </w:rPr>
        <w:t xml:space="preserve"> for URLLC</w:t>
      </w:r>
    </w:p>
    <w:p w:rsidR="009E2C51" w:rsidRDefault="00DE5D1C">
      <w:pPr>
        <w:rPr>
          <w:lang w:eastAsia="zh-CN"/>
        </w:rPr>
      </w:pPr>
      <w:r>
        <w:rPr>
          <w:rFonts w:hint="eastAsia"/>
          <w:lang w:eastAsia="zh-CN"/>
        </w:rPr>
        <w:t xml:space="preserve">In the RAN#87-e meeting, whether to introduce </w:t>
      </w:r>
      <w:r w:rsidRPr="00AC52DD">
        <w:t>a set of feature groups/components</w:t>
      </w:r>
      <w:r w:rsidRPr="00AC52DD">
        <w:rPr>
          <w:lang w:eastAsia="zh-CN"/>
        </w:rPr>
        <w:t xml:space="preserve"> for some feature was discussed and reached the following informational guidance</w:t>
      </w:r>
      <w:r w:rsidR="00AC52DD">
        <w:rPr>
          <w:lang w:eastAsia="zh-CN"/>
        </w:rPr>
        <w:t xml:space="preserve"> </w:t>
      </w:r>
      <w:r>
        <w:rPr>
          <w:rFonts w:hint="eastAsia"/>
          <w:lang w:eastAsia="zh-CN"/>
        </w:rPr>
        <w:t>[2]</w:t>
      </w:r>
      <w:r w:rsidRPr="00AC52DD">
        <w:rPr>
          <w:lang w:eastAsia="zh-CN"/>
        </w:rPr>
        <w:t xml:space="preserve">. </w:t>
      </w:r>
      <w:r>
        <w:rPr>
          <w:rFonts w:hint="eastAsia"/>
          <w:lang w:eastAsia="zh-CN"/>
        </w:rPr>
        <w:t xml:space="preserve">In such late stage, Approach 1 seems </w:t>
      </w:r>
      <w:r w:rsidR="00471B0B">
        <w:rPr>
          <w:lang w:eastAsia="zh-CN"/>
        </w:rPr>
        <w:t>un</w:t>
      </w:r>
      <w:r w:rsidR="00050D2B">
        <w:rPr>
          <w:lang w:eastAsia="zh-CN"/>
        </w:rPr>
        <w:t>likely</w:t>
      </w:r>
      <w:r w:rsidR="00050D2B">
        <w:rPr>
          <w:rFonts w:hint="eastAsia"/>
          <w:lang w:eastAsia="zh-CN"/>
        </w:rPr>
        <w:t xml:space="preserve"> </w:t>
      </w:r>
      <w:r>
        <w:rPr>
          <w:rFonts w:hint="eastAsia"/>
          <w:lang w:eastAsia="zh-CN"/>
        </w:rPr>
        <w:t>if it has not been agreed for a certain feature by respective WGs. As for Approach 2, p</w:t>
      </w:r>
      <w:r>
        <w:rPr>
          <w:rFonts w:hint="eastAsia"/>
        </w:rPr>
        <w:t xml:space="preserve">lenary guidance </w:t>
      </w:r>
      <w:r>
        <w:rPr>
          <w:rFonts w:hint="eastAsia"/>
          <w:lang w:eastAsia="zh-CN"/>
        </w:rPr>
        <w:t xml:space="preserve">may be requested, </w:t>
      </w:r>
      <w:r>
        <w:rPr>
          <w:rFonts w:hint="eastAsia"/>
        </w:rPr>
        <w:t>if needed after WG discussions</w:t>
      </w:r>
      <w:r>
        <w:rPr>
          <w:rFonts w:hint="eastAsia"/>
          <w:lang w:eastAsia="zh-CN"/>
        </w:rPr>
        <w:t xml:space="preserve"> according to the guidance. </w:t>
      </w:r>
    </w:p>
    <w:tbl>
      <w:tblPr>
        <w:tblStyle w:val="TableGrid"/>
        <w:tblW w:w="9854" w:type="dxa"/>
        <w:tblLayout w:type="fixed"/>
        <w:tblLook w:val="04A0" w:firstRow="1" w:lastRow="0" w:firstColumn="1" w:lastColumn="0" w:noHBand="0" w:noVBand="1"/>
      </w:tblPr>
      <w:tblGrid>
        <w:gridCol w:w="9854"/>
      </w:tblGrid>
      <w:tr w:rsidR="009E2C51">
        <w:tc>
          <w:tcPr>
            <w:tcW w:w="9854" w:type="dxa"/>
          </w:tcPr>
          <w:p w:rsidR="009E2C51" w:rsidRPr="00AC52DD" w:rsidRDefault="00DE5D1C" w:rsidP="00892737">
            <w:pPr>
              <w:numPr>
                <w:ilvl w:val="0"/>
                <w:numId w:val="9"/>
              </w:numPr>
              <w:spacing w:before="0" w:after="0"/>
            </w:pPr>
            <w:r w:rsidRPr="00AC52DD">
              <w:t xml:space="preserve">In case that a set of feature groups/components is necessary to be supported by UE (and NW) for a certain purpose, </w:t>
            </w:r>
          </w:p>
          <w:p w:rsidR="009E2C51" w:rsidRPr="00AC52DD" w:rsidRDefault="00DE5D1C" w:rsidP="00892737">
            <w:pPr>
              <w:numPr>
                <w:ilvl w:val="1"/>
                <w:numId w:val="9"/>
              </w:numPr>
              <w:spacing w:before="0" w:after="0"/>
            </w:pPr>
            <w:r w:rsidRPr="00AC52DD">
              <w:t>There are at least two possible approaches below to define the set of feature groups for a purpose.</w:t>
            </w:r>
          </w:p>
          <w:p w:rsidR="009E2C51" w:rsidRPr="00AC52DD" w:rsidRDefault="00DE5D1C" w:rsidP="00892737">
            <w:pPr>
              <w:numPr>
                <w:ilvl w:val="2"/>
                <w:numId w:val="9"/>
              </w:numPr>
              <w:spacing w:before="0" w:after="0"/>
            </w:pPr>
            <w:r w:rsidRPr="00AC52DD">
              <w:t xml:space="preserve">Approach 1: A basic feature group(s), which is a set of components that are viewed necessary to provide a minimum level of support for the feature. Defining a basic feature group(s) is not always possible or necessary for a given feature. </w:t>
            </w:r>
          </w:p>
          <w:p w:rsidR="009E2C51" w:rsidRPr="00AC52DD" w:rsidRDefault="00DE5D1C" w:rsidP="00892737">
            <w:pPr>
              <w:numPr>
                <w:ilvl w:val="2"/>
                <w:numId w:val="9"/>
              </w:numPr>
              <w:spacing w:before="0" w:after="0"/>
            </w:pPr>
            <w:r w:rsidRPr="00AC52DD">
              <w:t>Approach 2: A set(s) of feature groups necessary to be supported for the purpose is defined somewhere in specification(s).</w:t>
            </w:r>
          </w:p>
          <w:p w:rsidR="009E2C51" w:rsidRPr="00AC52DD" w:rsidRDefault="00DE5D1C" w:rsidP="00892737">
            <w:pPr>
              <w:numPr>
                <w:ilvl w:val="1"/>
                <w:numId w:val="9"/>
              </w:numPr>
              <w:spacing w:before="0" w:after="0"/>
            </w:pPr>
            <w:r w:rsidRPr="00AC52DD">
              <w:t>Each WG is responsible on whether/how to define the basic feature group(s) or the set(s) of feature groups, and it is possible to take different decision on approaches (including possibility to not define any basic feature group or set) for different purposes/features. It is preferable to take common approach across WGs for same feature/purpose.</w:t>
            </w:r>
          </w:p>
          <w:p w:rsidR="009E2C51" w:rsidRPr="00AC52DD" w:rsidRDefault="00DE5D1C" w:rsidP="00892737">
            <w:pPr>
              <w:numPr>
                <w:ilvl w:val="2"/>
                <w:numId w:val="9"/>
              </w:numPr>
              <w:spacing w:before="0" w:after="0"/>
            </w:pPr>
            <w:r w:rsidRPr="00AC52DD">
              <w:t>The Plenary guidance may be requested, if needed after WG discussions, on whether defining a set of feature groups based on Approach 2 for some feature, either in addition or instead of approach 1. There has been no conclusion in previous discussions, including RAN 87e, that it would be necessary.</w:t>
            </w:r>
          </w:p>
          <w:p w:rsidR="009E2C51" w:rsidRDefault="00DE5D1C" w:rsidP="00892737">
            <w:pPr>
              <w:numPr>
                <w:ilvl w:val="1"/>
                <w:numId w:val="9"/>
              </w:numPr>
              <w:spacing w:before="0" w:after="0"/>
              <w:rPr>
                <w:lang w:val="en-GB" w:eastAsia="zh-CN"/>
              </w:rPr>
            </w:pPr>
            <w:r w:rsidRPr="00AC52DD">
              <w:t>Irrespective of defining a set of feature groups for a purpose, capability bit(s) should be defined for each of feature groups independently.</w:t>
            </w:r>
          </w:p>
        </w:tc>
      </w:tr>
    </w:tbl>
    <w:p w:rsidR="009E2C51" w:rsidRPr="00471B0B" w:rsidRDefault="00DE5D1C">
      <w:pPr>
        <w:snapToGrid w:val="0"/>
        <w:spacing w:beforeLines="100" w:before="240" w:after="120"/>
        <w:rPr>
          <w:iCs/>
          <w:kern w:val="2"/>
          <w:lang w:eastAsia="zh-CN"/>
        </w:rPr>
      </w:pPr>
      <w:r>
        <w:rPr>
          <w:rFonts w:hint="eastAsia"/>
          <w:lang w:eastAsia="zh-CN"/>
        </w:rPr>
        <w:t xml:space="preserve">In RAN1#100bis-e, a working assumption on defining feature groups based on Approach 2 was reached for NR-U. While, there is no conclusion for Rel-16 URLLC. </w:t>
      </w:r>
      <w:r w:rsidRPr="00AC52DD">
        <w:rPr>
          <w:iCs/>
          <w:kern w:val="2"/>
          <w:lang w:eastAsia="zh-CN"/>
        </w:rPr>
        <w:t xml:space="preserve">In our view, </w:t>
      </w:r>
      <w:r>
        <w:rPr>
          <w:rFonts w:hint="eastAsia"/>
          <w:iCs/>
          <w:kern w:val="2"/>
          <w:lang w:eastAsia="zh-CN"/>
        </w:rPr>
        <w:t>clarifying</w:t>
      </w:r>
      <w:r w:rsidRPr="00AC52DD">
        <w:rPr>
          <w:iCs/>
          <w:kern w:val="2"/>
          <w:lang w:eastAsia="zh-CN"/>
        </w:rPr>
        <w:t xml:space="preserve"> one or more sets of basic UE features </w:t>
      </w:r>
      <w:r>
        <w:rPr>
          <w:rFonts w:hint="eastAsia"/>
          <w:iCs/>
          <w:kern w:val="2"/>
          <w:lang w:eastAsia="zh-CN"/>
        </w:rPr>
        <w:t xml:space="preserve">for URLLC in the spec </w:t>
      </w:r>
      <w:r w:rsidRPr="00AC52DD">
        <w:rPr>
          <w:iCs/>
          <w:kern w:val="2"/>
          <w:lang w:eastAsia="zh-CN"/>
        </w:rPr>
        <w:t xml:space="preserve">can serve the guidance to the industry to strive for a common set of technical components for certain UE type targeting at the same/similar use cases. </w:t>
      </w:r>
      <w:r w:rsidR="00471B0B">
        <w:rPr>
          <w:iCs/>
          <w:kern w:val="2"/>
          <w:lang w:eastAsia="zh-CN"/>
        </w:rPr>
        <w:t xml:space="preserve">For example, we can define one set of feature groups for low latency and one set of the feature groups for high reliability. </w:t>
      </w:r>
      <w:r w:rsidRPr="00AC52DD">
        <w:rPr>
          <w:iCs/>
          <w:kern w:val="2"/>
          <w:lang w:eastAsia="zh-CN"/>
        </w:rPr>
        <w:t>This would help accelerating the application of these technical components in the market if we have such guidance sooner. </w:t>
      </w:r>
      <w:r w:rsidR="00471B0B">
        <w:rPr>
          <w:iCs/>
          <w:kern w:val="2"/>
          <w:lang w:eastAsia="zh-CN"/>
        </w:rPr>
        <w:t xml:space="preserve"> </w:t>
      </w:r>
    </w:p>
    <w:p w:rsidR="009E2C51" w:rsidRDefault="00DE5D1C" w:rsidP="00AC52DD">
      <w:pPr>
        <w:spacing w:after="0"/>
        <w:rPr>
          <w:iCs/>
          <w:kern w:val="2"/>
          <w:lang w:eastAsia="zh-CN"/>
        </w:rPr>
      </w:pPr>
      <w:r>
        <w:rPr>
          <w:rFonts w:hint="eastAsia"/>
          <w:b/>
          <w:bCs/>
          <w:i/>
          <w:iCs/>
          <w:lang w:eastAsia="zh-CN"/>
        </w:rPr>
        <w:t xml:space="preserve">Proposal 1: </w:t>
      </w:r>
      <w:r>
        <w:rPr>
          <w:rFonts w:hint="eastAsia"/>
          <w:i/>
          <w:iCs/>
          <w:lang w:eastAsia="zh-CN"/>
        </w:rPr>
        <w:t xml:space="preserve">Support Approach 2 for Rel-16 URLLC UE features.  </w:t>
      </w:r>
      <w:r w:rsidRPr="00AC52DD">
        <w:rPr>
          <w:iCs/>
          <w:kern w:val="2"/>
          <w:lang w:eastAsia="zh-CN"/>
        </w:rPr>
        <w:t xml:space="preserve"> </w:t>
      </w:r>
    </w:p>
    <w:p w:rsidR="009E2C51" w:rsidRDefault="00DE5D1C">
      <w:pPr>
        <w:pStyle w:val="Heading1"/>
        <w:rPr>
          <w:lang w:eastAsia="zh-CN"/>
        </w:rPr>
      </w:pPr>
      <w:r>
        <w:rPr>
          <w:lang w:eastAsia="zh-CN"/>
        </w:rPr>
        <w:t>SFN sync-DC and non-SFN sync- DC</w:t>
      </w:r>
    </w:p>
    <w:p w:rsidR="009E2C51" w:rsidRDefault="00DE5D1C">
      <w:pPr>
        <w:rPr>
          <w:lang w:val="en-GB" w:eastAsia="zh-CN"/>
        </w:rPr>
      </w:pPr>
      <w:r>
        <w:rPr>
          <w:rFonts w:hint="eastAsia"/>
          <w:lang w:val="en-GB" w:eastAsia="zh-CN"/>
        </w:rPr>
        <w:t>D</w:t>
      </w:r>
      <w:r>
        <w:rPr>
          <w:lang w:val="en-GB" w:eastAsia="zh-CN"/>
        </w:rPr>
        <w:t xml:space="preserve">uring UE feature discussion in RAN1#100b-e meeting, it was agreed that the potential issue regarding SFN sync-DC and non-SFN sync-DC differentiation is to be discussed in RAN plenary. </w:t>
      </w:r>
    </w:p>
    <w:tbl>
      <w:tblPr>
        <w:tblStyle w:val="TableGrid"/>
        <w:tblW w:w="9628" w:type="dxa"/>
        <w:tblLayout w:type="fixed"/>
        <w:tblLook w:val="04A0" w:firstRow="1" w:lastRow="0" w:firstColumn="1" w:lastColumn="0" w:noHBand="0" w:noVBand="1"/>
      </w:tblPr>
      <w:tblGrid>
        <w:gridCol w:w="9628"/>
      </w:tblGrid>
      <w:tr w:rsidR="009E2C51">
        <w:tc>
          <w:tcPr>
            <w:tcW w:w="9628" w:type="dxa"/>
          </w:tcPr>
          <w:p w:rsidR="009E2C51" w:rsidRDefault="00DE5D1C">
            <w:pPr>
              <w:rPr>
                <w:rFonts w:ascii="New York" w:eastAsia="等线" w:hAnsi="New York"/>
                <w:b/>
                <w:bCs/>
              </w:rPr>
            </w:pPr>
            <w:r>
              <w:rPr>
                <w:rFonts w:ascii="New York" w:eastAsia="等线" w:hAnsi="New York"/>
                <w:b/>
                <w:bCs/>
                <w:highlight w:val="green"/>
                <w:u w:val="single"/>
              </w:rPr>
              <w:lastRenderedPageBreak/>
              <w:t>Agreement:</w:t>
            </w:r>
          </w:p>
          <w:p w:rsidR="009E2C51" w:rsidRDefault="00DE5D1C">
            <w:pPr>
              <w:rPr>
                <w:rFonts w:ascii="New York" w:eastAsia="等线" w:hAnsi="New York"/>
              </w:rPr>
            </w:pPr>
            <w:r>
              <w:rPr>
                <w:rFonts w:ascii="New York" w:eastAsia="等线" w:hAnsi="New York"/>
              </w:rPr>
              <w:t>Handling of potential differentiation between SFN sync-DC and non-SFN sync- DC is to be discussed in RAN.</w:t>
            </w:r>
          </w:p>
        </w:tc>
      </w:tr>
    </w:tbl>
    <w:p w:rsidR="009E2C51" w:rsidRDefault="009E2C51">
      <w:pPr>
        <w:rPr>
          <w:lang w:val="en-GB" w:eastAsia="zh-CN"/>
        </w:rPr>
      </w:pPr>
    </w:p>
    <w:p w:rsidR="009E2C51" w:rsidRDefault="00DE5D1C">
      <w:pPr>
        <w:rPr>
          <w:lang w:val="en-GB" w:eastAsia="zh-CN"/>
        </w:rPr>
      </w:pPr>
      <w:r>
        <w:rPr>
          <w:rFonts w:hint="eastAsia"/>
          <w:lang w:val="en-GB" w:eastAsia="zh-CN"/>
        </w:rPr>
        <w:t>D</w:t>
      </w:r>
      <w:r>
        <w:rPr>
          <w:lang w:val="en-GB" w:eastAsia="zh-CN"/>
        </w:rPr>
        <w:t xml:space="preserve">uring RAN#85, the following way forward was agreed in RP-192345 </w:t>
      </w:r>
      <w:r>
        <w:rPr>
          <w:lang w:val="en-GB" w:eastAsia="zh-CN"/>
        </w:rPr>
        <w:fldChar w:fldCharType="begin"/>
      </w:r>
      <w:r>
        <w:rPr>
          <w:lang w:val="en-GB" w:eastAsia="zh-CN"/>
        </w:rPr>
        <w:instrText xml:space="preserve"> REF _Ref43456430 \n \h </w:instrText>
      </w:r>
      <w:r>
        <w:rPr>
          <w:lang w:val="en-GB" w:eastAsia="zh-CN"/>
        </w:rPr>
      </w:r>
      <w:r>
        <w:rPr>
          <w:lang w:val="en-GB" w:eastAsia="zh-CN"/>
        </w:rPr>
        <w:fldChar w:fldCharType="separate"/>
      </w:r>
      <w:r>
        <w:rPr>
          <w:lang w:val="en-GB" w:eastAsia="zh-CN"/>
        </w:rPr>
        <w:t>[</w:t>
      </w:r>
      <w:r>
        <w:rPr>
          <w:rFonts w:hint="eastAsia"/>
          <w:lang w:eastAsia="zh-CN"/>
        </w:rPr>
        <w:t>3</w:t>
      </w:r>
      <w:r>
        <w:rPr>
          <w:lang w:val="en-GB" w:eastAsia="zh-CN"/>
        </w:rPr>
        <w:t>]</w:t>
      </w:r>
      <w:r>
        <w:rPr>
          <w:lang w:val="en-GB" w:eastAsia="zh-CN"/>
        </w:rPr>
        <w:fldChar w:fldCharType="end"/>
      </w:r>
      <w:r>
        <w:rPr>
          <w:lang w:val="en-GB" w:eastAsia="zh-CN"/>
        </w:rPr>
        <w:t>. Based on the following way forward, Rel-16 UEs will not be allowed to use the bit defined in Rel-15 to differentiate SFN sync-DC and non-SFN sync-DC. In this sense, all Release-16 UEs supporting sync NR-DC are required to support both SFN sync-DC and non-SFN sync-DC.</w:t>
      </w:r>
      <w:r>
        <w:rPr>
          <w:rFonts w:hint="eastAsia"/>
          <w:lang w:val="en-GB" w:eastAsia="zh-CN"/>
        </w:rPr>
        <w:t xml:space="preserve"> </w:t>
      </w:r>
    </w:p>
    <w:tbl>
      <w:tblPr>
        <w:tblStyle w:val="TableGrid"/>
        <w:tblW w:w="9628" w:type="dxa"/>
        <w:tblLayout w:type="fixed"/>
        <w:tblLook w:val="04A0" w:firstRow="1" w:lastRow="0" w:firstColumn="1" w:lastColumn="0" w:noHBand="0" w:noVBand="1"/>
      </w:tblPr>
      <w:tblGrid>
        <w:gridCol w:w="9628"/>
      </w:tblGrid>
      <w:tr w:rsidR="00DA767E" w:rsidTr="00BB63B9">
        <w:tc>
          <w:tcPr>
            <w:tcW w:w="9628" w:type="dxa"/>
          </w:tcPr>
          <w:p w:rsidR="00DA767E" w:rsidRDefault="00DA767E" w:rsidP="00BB63B9">
            <w:pPr>
              <w:numPr>
                <w:ilvl w:val="0"/>
                <w:numId w:val="10"/>
              </w:numPr>
              <w:spacing w:before="0" w:after="0"/>
              <w:ind w:hanging="357"/>
              <w:rPr>
                <w:rFonts w:ascii="New York" w:hAnsi="New York"/>
                <w:lang w:eastAsia="zh-CN"/>
              </w:rPr>
            </w:pPr>
            <w:r>
              <w:rPr>
                <w:rFonts w:ascii="New York" w:hAnsi="New York"/>
                <w:lang w:eastAsia="zh-CN"/>
              </w:rPr>
              <w:t xml:space="preserve">Introduce Rel-15 UE capability for SFN-sync </w:t>
            </w:r>
          </w:p>
          <w:p w:rsidR="00DA767E" w:rsidRDefault="00DA767E" w:rsidP="00BB63B9">
            <w:pPr>
              <w:numPr>
                <w:ilvl w:val="1"/>
                <w:numId w:val="10"/>
              </w:numPr>
              <w:spacing w:before="0" w:after="0"/>
              <w:ind w:hanging="357"/>
              <w:rPr>
                <w:rFonts w:ascii="New York" w:hAnsi="New York"/>
                <w:lang w:eastAsia="zh-CN"/>
              </w:rPr>
            </w:pPr>
            <w:r>
              <w:rPr>
                <w:rFonts w:ascii="New York" w:hAnsi="New York"/>
                <w:lang w:eastAsia="zh-CN"/>
              </w:rPr>
              <w:t>To be implemented as a backward compatible CR based on the June specification version</w:t>
            </w:r>
          </w:p>
          <w:p w:rsidR="00DA767E" w:rsidRDefault="00DA767E" w:rsidP="00BB63B9">
            <w:pPr>
              <w:numPr>
                <w:ilvl w:val="2"/>
                <w:numId w:val="10"/>
              </w:numPr>
              <w:spacing w:before="0" w:after="0"/>
              <w:ind w:hanging="357"/>
              <w:rPr>
                <w:rFonts w:ascii="New York" w:hAnsi="New York"/>
                <w:lang w:eastAsia="zh-CN"/>
              </w:rPr>
            </w:pPr>
            <w:r>
              <w:rPr>
                <w:rFonts w:ascii="New York" w:hAnsi="New York"/>
                <w:lang w:eastAsia="zh-CN"/>
              </w:rPr>
              <w:t xml:space="preserve">Omission of the bit means the UE is </w:t>
            </w:r>
            <w:r>
              <w:rPr>
                <w:rFonts w:ascii="New York" w:hAnsi="New York"/>
                <w:i/>
                <w:iCs/>
                <w:lang w:eastAsia="zh-CN"/>
              </w:rPr>
              <w:t>capable</w:t>
            </w:r>
            <w:r>
              <w:rPr>
                <w:rFonts w:ascii="New York" w:hAnsi="New York"/>
                <w:lang w:eastAsia="zh-CN"/>
              </w:rPr>
              <w:t xml:space="preserve"> of slot aligned non-SFN-sync DC</w:t>
            </w:r>
          </w:p>
          <w:p w:rsidR="00DA767E" w:rsidRDefault="00DA767E" w:rsidP="00BB63B9">
            <w:pPr>
              <w:numPr>
                <w:ilvl w:val="2"/>
                <w:numId w:val="10"/>
              </w:numPr>
              <w:spacing w:before="0" w:after="0"/>
              <w:ind w:hanging="357"/>
              <w:rPr>
                <w:rFonts w:ascii="New York" w:hAnsi="New York"/>
                <w:lang w:eastAsia="zh-CN"/>
              </w:rPr>
            </w:pPr>
            <w:r>
              <w:rPr>
                <w:rFonts w:ascii="New York" w:hAnsi="New York"/>
                <w:lang w:eastAsia="zh-CN"/>
              </w:rPr>
              <w:t xml:space="preserve">Inclusion of the bit means the UE is </w:t>
            </w:r>
            <w:r>
              <w:rPr>
                <w:rFonts w:ascii="New York" w:hAnsi="New York"/>
                <w:i/>
                <w:iCs/>
                <w:lang w:eastAsia="zh-CN"/>
              </w:rPr>
              <w:t>incapable</w:t>
            </w:r>
            <w:r>
              <w:rPr>
                <w:rFonts w:ascii="New York" w:hAnsi="New York"/>
                <w:lang w:eastAsia="zh-CN"/>
              </w:rPr>
              <w:t xml:space="preserve"> of slot aligned non-SFN-sync DC</w:t>
            </w:r>
          </w:p>
          <w:p w:rsidR="00DA767E" w:rsidRDefault="00DA767E" w:rsidP="00BB63B9">
            <w:pPr>
              <w:numPr>
                <w:ilvl w:val="1"/>
                <w:numId w:val="10"/>
              </w:numPr>
              <w:spacing w:before="0" w:after="0"/>
              <w:ind w:hanging="357"/>
              <w:rPr>
                <w:rFonts w:ascii="New York" w:hAnsi="New York"/>
                <w:lang w:eastAsia="zh-CN"/>
              </w:rPr>
            </w:pPr>
            <w:r>
              <w:rPr>
                <w:rFonts w:ascii="New York" w:hAnsi="New York"/>
                <w:lang w:eastAsia="zh-CN"/>
              </w:rPr>
              <w:t>Rel-16 UEs will not be allowed to use the bit defined in Rel-15</w:t>
            </w:r>
          </w:p>
          <w:p w:rsidR="00DA767E" w:rsidRDefault="00DA767E" w:rsidP="00BB63B9">
            <w:pPr>
              <w:numPr>
                <w:ilvl w:val="1"/>
                <w:numId w:val="10"/>
              </w:numPr>
              <w:spacing w:before="0" w:after="0"/>
              <w:ind w:hanging="357"/>
              <w:rPr>
                <w:rFonts w:ascii="New York" w:hAnsi="New York"/>
                <w:lang w:eastAsia="zh-CN"/>
              </w:rPr>
            </w:pPr>
            <w:r>
              <w:rPr>
                <w:rFonts w:ascii="New York" w:hAnsi="New York"/>
                <w:lang w:eastAsia="zh-CN"/>
              </w:rPr>
              <w:t>RAN#87 (March/2020) to re-address the issue of mandating Release-15 UEs supporting NR-NR DC to support slot aligned non-SFN-sync DC</w:t>
            </w:r>
          </w:p>
          <w:p w:rsidR="00DA767E" w:rsidRDefault="00DA767E" w:rsidP="00BB63B9">
            <w:pPr>
              <w:numPr>
                <w:ilvl w:val="1"/>
                <w:numId w:val="10"/>
              </w:numPr>
              <w:spacing w:before="0" w:after="0"/>
              <w:ind w:hanging="357"/>
              <w:rPr>
                <w:rFonts w:ascii="New York" w:hAnsi="New York"/>
                <w:lang w:eastAsia="zh-CN"/>
              </w:rPr>
            </w:pPr>
            <w:r>
              <w:rPr>
                <w:rFonts w:ascii="New York" w:hAnsi="New York"/>
                <w:lang w:eastAsia="zh-CN"/>
              </w:rPr>
              <w:t>There are no changes other than 38.306 and 38.331 for adding the UE capability</w:t>
            </w:r>
          </w:p>
          <w:p w:rsidR="00DA767E" w:rsidRDefault="00DA767E" w:rsidP="00BB63B9">
            <w:pPr>
              <w:numPr>
                <w:ilvl w:val="2"/>
                <w:numId w:val="10"/>
              </w:numPr>
              <w:spacing w:before="0" w:after="0"/>
              <w:ind w:hanging="357"/>
              <w:rPr>
                <w:rFonts w:ascii="New York" w:hAnsi="New York"/>
                <w:lang w:eastAsia="zh-CN"/>
              </w:rPr>
            </w:pPr>
            <w:r>
              <w:rPr>
                <w:rFonts w:ascii="New York" w:hAnsi="New York"/>
                <w:lang w:eastAsia="zh-CN"/>
              </w:rPr>
              <w:t>Stage-2 description changes in 37.340 are not precluded</w:t>
            </w:r>
          </w:p>
          <w:p w:rsidR="00DA767E" w:rsidRDefault="00DA767E" w:rsidP="00BB63B9">
            <w:pPr>
              <w:numPr>
                <w:ilvl w:val="0"/>
                <w:numId w:val="10"/>
              </w:numPr>
              <w:spacing w:before="0" w:after="0"/>
              <w:ind w:hanging="357"/>
              <w:rPr>
                <w:rFonts w:ascii="New York" w:hAnsi="New York"/>
                <w:lang w:eastAsia="zh-CN"/>
              </w:rPr>
            </w:pPr>
            <w:r>
              <w:rPr>
                <w:rFonts w:ascii="New York" w:hAnsi="New York"/>
                <w:lang w:eastAsia="zh-CN"/>
              </w:rPr>
              <w:t xml:space="preserve">The Rel-16 NR-NR DC scope is not changed </w:t>
            </w:r>
          </w:p>
        </w:tc>
      </w:tr>
    </w:tbl>
    <w:p w:rsidR="00DA767E" w:rsidRDefault="00DA767E">
      <w:pPr>
        <w:rPr>
          <w:lang w:eastAsia="zh-CN"/>
        </w:rPr>
      </w:pPr>
    </w:p>
    <w:p w:rsidR="0071493C" w:rsidRDefault="0071493C">
      <w:pPr>
        <w:rPr>
          <w:lang w:eastAsia="zh-CN"/>
        </w:rPr>
      </w:pPr>
      <w:r>
        <w:rPr>
          <w:rFonts w:hint="eastAsia"/>
          <w:lang w:eastAsia="zh-CN"/>
        </w:rPr>
        <w:t>F</w:t>
      </w:r>
      <w:r>
        <w:rPr>
          <w:lang w:eastAsia="zh-CN"/>
        </w:rPr>
        <w:t xml:space="preserve">urthermore, it was concluded in RAN#85 that RAN#87 would re-address the issue of mandating Release-15 UEs supporting NR-DC to support slot aligned non-SFN-sync DC. Though RAN didn’t discuss this issue in RAN#87, it seems companies didn’t raise any concern on this issue till RAN#87. </w:t>
      </w:r>
      <w:r w:rsidR="00A331E5">
        <w:rPr>
          <w:lang w:eastAsia="zh-CN"/>
        </w:rPr>
        <w:t>Thus, w</w:t>
      </w:r>
      <w:r>
        <w:rPr>
          <w:lang w:eastAsia="zh-CN"/>
        </w:rPr>
        <w:t>e propose to reconfirm the way forward made in RAN#85.</w:t>
      </w:r>
    </w:p>
    <w:p w:rsidR="0071493C" w:rsidRPr="004B0B32" w:rsidRDefault="0071493C">
      <w:pPr>
        <w:rPr>
          <w:i/>
          <w:lang w:eastAsia="zh-CN"/>
        </w:rPr>
      </w:pPr>
      <w:r w:rsidRPr="004B0B32">
        <w:rPr>
          <w:b/>
          <w:i/>
          <w:lang w:eastAsia="zh-CN"/>
        </w:rPr>
        <w:t>Proposal 2</w:t>
      </w:r>
      <w:r w:rsidRPr="004B0B32">
        <w:rPr>
          <w:i/>
          <w:lang w:eastAsia="zh-CN"/>
        </w:rPr>
        <w:t>:</w:t>
      </w:r>
      <w:r w:rsidRPr="004B0B32">
        <w:rPr>
          <w:rFonts w:hint="eastAsia"/>
          <w:i/>
          <w:lang w:eastAsia="zh-CN"/>
        </w:rPr>
        <w:t xml:space="preserve"> </w:t>
      </w:r>
      <w:r w:rsidRPr="004B0B32">
        <w:rPr>
          <w:i/>
          <w:lang w:eastAsia="zh-CN"/>
        </w:rPr>
        <w:t>RAN reconfirms that</w:t>
      </w:r>
    </w:p>
    <w:p w:rsidR="0071493C" w:rsidRPr="004B0B32" w:rsidRDefault="0071493C" w:rsidP="003911E9">
      <w:pPr>
        <w:ind w:leftChars="200" w:left="400"/>
        <w:rPr>
          <w:i/>
          <w:lang w:eastAsia="zh-CN"/>
        </w:rPr>
      </w:pPr>
      <w:r w:rsidRPr="004B0B32">
        <w:rPr>
          <w:i/>
          <w:lang w:eastAsia="zh-CN"/>
        </w:rPr>
        <w:t>All Release-16 UEs supporting sync NR-DC are required to support both SFN sync-DC and non-SFN sync-DC</w:t>
      </w:r>
      <w:r w:rsidR="003911E9" w:rsidRPr="003911E9">
        <w:rPr>
          <w:i/>
          <w:lang w:eastAsia="zh-CN"/>
        </w:rPr>
        <w:t xml:space="preserve"> (i.e. Rel-16 UEs will not be allowed to set the inca</w:t>
      </w:r>
      <w:r w:rsidR="003911E9">
        <w:rPr>
          <w:i/>
          <w:lang w:eastAsia="zh-CN"/>
        </w:rPr>
        <w:t>pability bit defined in Rel-15)</w:t>
      </w:r>
      <w:r w:rsidRPr="004B0B32">
        <w:rPr>
          <w:i/>
          <w:lang w:eastAsia="zh-CN"/>
        </w:rPr>
        <w:t>.</w:t>
      </w:r>
    </w:p>
    <w:p w:rsidR="009E2C51" w:rsidRDefault="0071493C" w:rsidP="00267DD0">
      <w:pPr>
        <w:ind w:leftChars="200" w:left="400"/>
        <w:rPr>
          <w:i/>
          <w:lang w:eastAsia="zh-CN"/>
        </w:rPr>
      </w:pPr>
      <w:r w:rsidRPr="004B0B32">
        <w:rPr>
          <w:i/>
          <w:lang w:eastAsia="zh-CN"/>
        </w:rPr>
        <w:t>Release-15 UEs supporting NR-DC are mandated to support slot aligned non-SFN-sync DC</w:t>
      </w:r>
      <w:r w:rsidR="004B0B32">
        <w:rPr>
          <w:i/>
          <w:lang w:eastAsia="zh-CN"/>
        </w:rPr>
        <w:t xml:space="preserve"> from RAN#88e</w:t>
      </w:r>
      <w:r w:rsidR="003911E9" w:rsidRPr="003911E9">
        <w:rPr>
          <w:i/>
          <w:lang w:eastAsia="zh-CN"/>
        </w:rPr>
        <w:t xml:space="preserve"> (i.e. from June 2020 version of the specs, also Rel-15 UEs will not be allowed to set the incapability bit).</w:t>
      </w:r>
    </w:p>
    <w:p w:rsidR="00267DD0" w:rsidRDefault="00267DD0">
      <w:pPr>
        <w:rPr>
          <w:lang w:val="en-GB" w:eastAsia="zh-CN"/>
        </w:rPr>
      </w:pPr>
    </w:p>
    <w:p w:rsidR="00CC3208" w:rsidRDefault="00970B71" w:rsidP="00CC3208">
      <w:pPr>
        <w:pStyle w:val="Heading1"/>
        <w:rPr>
          <w:lang w:eastAsia="zh-CN"/>
        </w:rPr>
      </w:pPr>
      <w:r>
        <w:rPr>
          <w:lang w:eastAsia="zh-CN"/>
        </w:rPr>
        <w:t>FG interpretation in case of cross-carrier operation</w:t>
      </w:r>
    </w:p>
    <w:p w:rsidR="00970B71" w:rsidRDefault="00970B71" w:rsidP="00CC3208">
      <w:pPr>
        <w:rPr>
          <w:lang w:val="en-GB" w:eastAsia="zh-CN"/>
        </w:rPr>
      </w:pPr>
      <w:r>
        <w:rPr>
          <w:lang w:val="en-GB" w:eastAsia="zh-CN"/>
        </w:rPr>
        <w:t xml:space="preserve">During RAN1#98bis meeting, RAN1 discussed the </w:t>
      </w:r>
      <w:r w:rsidRPr="00970B71">
        <w:rPr>
          <w:lang w:val="en-GB" w:eastAsia="zh-CN"/>
        </w:rPr>
        <w:t>ambiguity of UE L1 capabilities</w:t>
      </w:r>
      <w:r>
        <w:rPr>
          <w:lang w:val="en-GB" w:eastAsia="zh-CN"/>
        </w:rPr>
        <w:t xml:space="preserve"> with </w:t>
      </w:r>
      <w:r w:rsidRPr="00970B71">
        <w:rPr>
          <w:lang w:val="en-GB" w:eastAsia="zh-CN"/>
        </w:rPr>
        <w:t xml:space="preserve">FDD/TDD </w:t>
      </w:r>
      <w:r>
        <w:rPr>
          <w:lang w:val="en-GB" w:eastAsia="zh-CN"/>
        </w:rPr>
        <w:t xml:space="preserve">and/or </w:t>
      </w:r>
      <w:r w:rsidRPr="00970B71">
        <w:rPr>
          <w:lang w:val="en-GB" w:eastAsia="zh-CN"/>
        </w:rPr>
        <w:t>FR1/FR2</w:t>
      </w:r>
      <w:r>
        <w:rPr>
          <w:lang w:val="en-GB" w:eastAsia="zh-CN"/>
        </w:rPr>
        <w:t xml:space="preserve"> differentiation </w:t>
      </w:r>
      <w:r w:rsidR="00526A2D">
        <w:rPr>
          <w:lang w:val="en-GB" w:eastAsia="zh-CN"/>
        </w:rPr>
        <w:fldChar w:fldCharType="begin"/>
      </w:r>
      <w:r w:rsidR="00526A2D">
        <w:rPr>
          <w:lang w:val="en-GB" w:eastAsia="zh-CN"/>
        </w:rPr>
        <w:instrText xml:space="preserve"> REF _Ref43738675 \r \h </w:instrText>
      </w:r>
      <w:r w:rsidR="00526A2D">
        <w:rPr>
          <w:lang w:val="en-GB" w:eastAsia="zh-CN"/>
        </w:rPr>
      </w:r>
      <w:r w:rsidR="00526A2D">
        <w:rPr>
          <w:lang w:val="en-GB" w:eastAsia="zh-CN"/>
        </w:rPr>
        <w:fldChar w:fldCharType="separate"/>
      </w:r>
      <w:r w:rsidR="00526A2D">
        <w:rPr>
          <w:lang w:val="en-GB" w:eastAsia="zh-CN"/>
        </w:rPr>
        <w:t>[4]</w:t>
      </w:r>
      <w:r w:rsidR="00526A2D">
        <w:rPr>
          <w:lang w:val="en-GB" w:eastAsia="zh-CN"/>
        </w:rPr>
        <w:fldChar w:fldCharType="end"/>
      </w:r>
      <w:r w:rsidR="00BB63B9">
        <w:rPr>
          <w:lang w:val="en-GB" w:eastAsia="zh-CN"/>
        </w:rPr>
        <w:t xml:space="preserve">. For UE features with </w:t>
      </w:r>
      <w:r w:rsidR="00BB63B9" w:rsidRPr="00970B71">
        <w:rPr>
          <w:lang w:val="en-GB" w:eastAsia="zh-CN"/>
        </w:rPr>
        <w:t xml:space="preserve">FDD/TDD </w:t>
      </w:r>
      <w:r w:rsidR="00BB63B9">
        <w:rPr>
          <w:lang w:val="en-GB" w:eastAsia="zh-CN"/>
        </w:rPr>
        <w:t xml:space="preserve">and/or </w:t>
      </w:r>
      <w:r w:rsidR="00BB63B9" w:rsidRPr="00970B71">
        <w:rPr>
          <w:lang w:val="en-GB" w:eastAsia="zh-CN"/>
        </w:rPr>
        <w:t>FR1/FR2</w:t>
      </w:r>
      <w:r w:rsidR="00BB63B9">
        <w:rPr>
          <w:lang w:val="en-GB" w:eastAsia="zh-CN"/>
        </w:rPr>
        <w:t xml:space="preserve"> differentiation, RAN1 clarified how to interpret the UE feature in case of cross-</w:t>
      </w:r>
      <w:proofErr w:type="spellStart"/>
      <w:r w:rsidR="00BB63B9">
        <w:rPr>
          <w:lang w:val="en-GB" w:eastAsia="zh-CN"/>
        </w:rPr>
        <w:t>xDD</w:t>
      </w:r>
      <w:proofErr w:type="spellEnd"/>
      <w:r w:rsidR="00BB63B9">
        <w:rPr>
          <w:lang w:val="en-GB" w:eastAsia="zh-CN"/>
        </w:rPr>
        <w:t xml:space="preserve"> and/or cross-</w:t>
      </w:r>
      <w:proofErr w:type="spellStart"/>
      <w:r w:rsidR="00BB63B9">
        <w:rPr>
          <w:lang w:val="en-GB" w:eastAsia="zh-CN"/>
        </w:rPr>
        <w:t>FRx</w:t>
      </w:r>
      <w:proofErr w:type="spellEnd"/>
      <w:r w:rsidR="00BB63B9">
        <w:rPr>
          <w:lang w:val="en-GB" w:eastAsia="zh-CN"/>
        </w:rPr>
        <w:t xml:space="preserve"> operation. </w:t>
      </w:r>
      <w:r w:rsidR="00526A2D">
        <w:rPr>
          <w:lang w:val="en-GB" w:eastAsia="zh-CN"/>
        </w:rPr>
        <w:t>To address th</w:t>
      </w:r>
      <w:r w:rsidR="00BB63B9">
        <w:rPr>
          <w:lang w:val="en-GB" w:eastAsia="zh-CN"/>
        </w:rPr>
        <w:t>is</w:t>
      </w:r>
      <w:r w:rsidR="00526A2D">
        <w:rPr>
          <w:lang w:val="en-GB" w:eastAsia="zh-CN"/>
        </w:rPr>
        <w:t xml:space="preserve"> issue in Rel-15, RAN2 added clarification in section Annex A.1 and A.2 </w:t>
      </w:r>
      <w:r w:rsidR="00017E51">
        <w:rPr>
          <w:lang w:val="en-GB" w:eastAsia="zh-CN"/>
        </w:rPr>
        <w:t>of</w:t>
      </w:r>
      <w:r w:rsidR="00526A2D">
        <w:rPr>
          <w:lang w:val="en-GB" w:eastAsia="zh-CN"/>
        </w:rPr>
        <w:t xml:space="preserve"> TS38.306. Besides, RAN2 requested RAN1/RAN4 to discuss the “</w:t>
      </w:r>
      <w:r w:rsidR="00526A2D" w:rsidRPr="00526A2D">
        <w:rPr>
          <w:lang w:val="en-GB" w:eastAsia="zh-CN"/>
        </w:rPr>
        <w:t>Capability interpretation for mixture of FDD/TDD and/or FR1/FR2</w:t>
      </w:r>
      <w:r w:rsidR="00526A2D">
        <w:rPr>
          <w:lang w:val="en-GB" w:eastAsia="zh-CN"/>
        </w:rPr>
        <w:t>” in the ongoing Rel-16 UE feature discussion</w:t>
      </w:r>
      <w:r w:rsidR="00BB63B9">
        <w:rPr>
          <w:lang w:val="en-GB" w:eastAsia="zh-CN"/>
        </w:rPr>
        <w:t xml:space="preserve"> </w:t>
      </w:r>
      <w:r w:rsidR="00BB63B9">
        <w:rPr>
          <w:lang w:val="en-GB" w:eastAsia="zh-CN"/>
        </w:rPr>
        <w:fldChar w:fldCharType="begin"/>
      </w:r>
      <w:r w:rsidR="00BB63B9">
        <w:rPr>
          <w:lang w:val="en-GB" w:eastAsia="zh-CN"/>
        </w:rPr>
        <w:instrText xml:space="preserve"> REF _Ref43743250 \r \h </w:instrText>
      </w:r>
      <w:r w:rsidR="00BB63B9">
        <w:rPr>
          <w:lang w:val="en-GB" w:eastAsia="zh-CN"/>
        </w:rPr>
      </w:r>
      <w:r w:rsidR="00BB63B9">
        <w:rPr>
          <w:lang w:val="en-GB" w:eastAsia="zh-CN"/>
        </w:rPr>
        <w:fldChar w:fldCharType="separate"/>
      </w:r>
      <w:r w:rsidR="00BB63B9">
        <w:rPr>
          <w:lang w:val="en-GB" w:eastAsia="zh-CN"/>
        </w:rPr>
        <w:t>[5]</w:t>
      </w:r>
      <w:r w:rsidR="00BB63B9">
        <w:rPr>
          <w:lang w:val="en-GB" w:eastAsia="zh-CN"/>
        </w:rPr>
        <w:fldChar w:fldCharType="end"/>
      </w:r>
      <w:r w:rsidR="00017E51">
        <w:rPr>
          <w:lang w:val="en-GB" w:eastAsia="zh-CN"/>
        </w:rPr>
        <w:t xml:space="preserve"> to address this issue in Rel-16</w:t>
      </w:r>
      <w:r w:rsidR="00526A2D">
        <w:rPr>
          <w:lang w:val="en-GB" w:eastAsia="zh-CN"/>
        </w:rPr>
        <w:t>.</w:t>
      </w:r>
    </w:p>
    <w:p w:rsidR="00CC3208" w:rsidRPr="00BB63B9" w:rsidRDefault="00017E51" w:rsidP="00CC3208">
      <w:pPr>
        <w:rPr>
          <w:lang w:val="en-GB" w:eastAsia="zh-CN"/>
        </w:rPr>
      </w:pPr>
      <w:r>
        <w:rPr>
          <w:lang w:val="en-GB" w:eastAsia="zh-CN"/>
        </w:rPr>
        <w:t>However, a</w:t>
      </w:r>
      <w:r w:rsidR="00BB63B9">
        <w:rPr>
          <w:lang w:val="en-GB" w:eastAsia="zh-CN"/>
        </w:rPr>
        <w:t xml:space="preserve">fter further analysis, the </w:t>
      </w:r>
      <w:r w:rsidR="00BB63B9" w:rsidRPr="00970B71">
        <w:rPr>
          <w:lang w:val="en-GB" w:eastAsia="zh-CN"/>
        </w:rPr>
        <w:t>ambiguity</w:t>
      </w:r>
      <w:r w:rsidR="00BB63B9">
        <w:rPr>
          <w:lang w:val="en-GB" w:eastAsia="zh-CN"/>
        </w:rPr>
        <w:t xml:space="preserve"> is not only for UE features with </w:t>
      </w:r>
      <w:r w:rsidR="00BB63B9" w:rsidRPr="00970B71">
        <w:rPr>
          <w:lang w:val="en-GB" w:eastAsia="zh-CN"/>
        </w:rPr>
        <w:t xml:space="preserve">FDD/TDD </w:t>
      </w:r>
      <w:r w:rsidR="00BB63B9">
        <w:rPr>
          <w:lang w:val="en-GB" w:eastAsia="zh-CN"/>
        </w:rPr>
        <w:t xml:space="preserve">and/or </w:t>
      </w:r>
      <w:r w:rsidR="00BB63B9" w:rsidRPr="00970B71">
        <w:rPr>
          <w:lang w:val="en-GB" w:eastAsia="zh-CN"/>
        </w:rPr>
        <w:t>FR1/FR2</w:t>
      </w:r>
      <w:r w:rsidR="00BB63B9">
        <w:rPr>
          <w:lang w:val="en-GB" w:eastAsia="zh-CN"/>
        </w:rPr>
        <w:t xml:space="preserve"> differentiation, but also for UE features without </w:t>
      </w:r>
      <w:proofErr w:type="spellStart"/>
      <w:r w:rsidR="00BB63B9">
        <w:rPr>
          <w:lang w:val="en-GB" w:eastAsia="zh-CN"/>
        </w:rPr>
        <w:t>xDD</w:t>
      </w:r>
      <w:proofErr w:type="spellEnd"/>
      <w:r w:rsidR="00BB63B9">
        <w:rPr>
          <w:lang w:val="en-GB" w:eastAsia="zh-CN"/>
        </w:rPr>
        <w:t>/</w:t>
      </w:r>
      <w:proofErr w:type="spellStart"/>
      <w:r w:rsidR="00BB63B9">
        <w:rPr>
          <w:lang w:val="en-GB" w:eastAsia="zh-CN"/>
        </w:rPr>
        <w:t>FRx</w:t>
      </w:r>
      <w:proofErr w:type="spellEnd"/>
      <w:r w:rsidR="00BB63B9">
        <w:rPr>
          <w:lang w:val="en-GB" w:eastAsia="zh-CN"/>
        </w:rPr>
        <w:t xml:space="preserve"> differentiation. </w:t>
      </w:r>
      <w:r w:rsidR="00CC3208">
        <w:rPr>
          <w:rFonts w:hint="eastAsia"/>
          <w:lang w:eastAsia="zh-CN"/>
        </w:rPr>
        <w:t>T</w:t>
      </w:r>
      <w:r w:rsidR="00CC3208">
        <w:rPr>
          <w:lang w:eastAsia="zh-CN"/>
        </w:rPr>
        <w:t xml:space="preserve">ake the Rel-15 UE capability </w:t>
      </w:r>
      <w:r w:rsidR="00CC3208" w:rsidRPr="001A4EF2">
        <w:rPr>
          <w:i/>
          <w:lang w:eastAsia="zh-CN"/>
        </w:rPr>
        <w:t>aperiodicTRS</w:t>
      </w:r>
      <w:r w:rsidR="00CC3208">
        <w:rPr>
          <w:lang w:eastAsia="zh-CN"/>
        </w:rPr>
        <w:t xml:space="preserve"> as an example. UE capability </w:t>
      </w:r>
      <w:r w:rsidR="00CC3208" w:rsidRPr="001A4EF2">
        <w:rPr>
          <w:i/>
          <w:lang w:eastAsia="zh-CN"/>
        </w:rPr>
        <w:t>aperiodicTRS</w:t>
      </w:r>
      <w:r w:rsidR="00CC3208">
        <w:rPr>
          <w:lang w:eastAsia="zh-CN"/>
        </w:rPr>
        <w:t xml:space="preserve"> is a “per Band” signaling, which is to indicate the network whether the UE supports DCI triggering aperiodic TRS associated with periodic TRS. </w:t>
      </w:r>
      <w:r w:rsidR="00BB63B9">
        <w:rPr>
          <w:lang w:eastAsia="zh-CN"/>
        </w:rPr>
        <w:t>I</w:t>
      </w:r>
      <w:r w:rsidR="00CC3208">
        <w:rPr>
          <w:lang w:eastAsia="zh-CN"/>
        </w:rPr>
        <w:t>t is not clear how to interpret the UE capability</w:t>
      </w:r>
      <w:r w:rsidR="00BB63B9">
        <w:rPr>
          <w:lang w:eastAsia="zh-CN"/>
        </w:rPr>
        <w:t xml:space="preserve"> in case when only one of the triggering cell and triggered cell supports </w:t>
      </w:r>
      <w:r w:rsidR="00BB63B9" w:rsidRPr="001A4EF2">
        <w:rPr>
          <w:i/>
          <w:lang w:eastAsia="zh-CN"/>
        </w:rPr>
        <w:t>aperiodicTRS</w:t>
      </w:r>
      <w:r w:rsidR="00CC3208">
        <w:rPr>
          <w:lang w:eastAsia="zh-CN"/>
        </w:rPr>
        <w:t xml:space="preserve">. For example, if UE indicates support of </w:t>
      </w:r>
      <w:r w:rsidR="00CC3208">
        <w:rPr>
          <w:i/>
          <w:lang w:eastAsia="zh-CN"/>
        </w:rPr>
        <w:t>aperiodicTRS</w:t>
      </w:r>
      <w:r w:rsidR="00CC3208">
        <w:rPr>
          <w:lang w:eastAsia="zh-CN"/>
        </w:rPr>
        <w:t xml:space="preserve"> for Band A and </w:t>
      </w:r>
      <w:r w:rsidR="00BB63B9">
        <w:rPr>
          <w:lang w:eastAsia="zh-CN"/>
        </w:rPr>
        <w:t>NOT</w:t>
      </w:r>
      <w:r w:rsidR="00CC3208">
        <w:rPr>
          <w:lang w:eastAsia="zh-CN"/>
        </w:rPr>
        <w:t xml:space="preserve"> support of </w:t>
      </w:r>
      <w:r w:rsidR="00CC3208">
        <w:rPr>
          <w:i/>
          <w:lang w:eastAsia="zh-CN"/>
        </w:rPr>
        <w:t>aperiodicTRS</w:t>
      </w:r>
      <w:r w:rsidR="00CC3208">
        <w:rPr>
          <w:lang w:eastAsia="zh-CN"/>
        </w:rPr>
        <w:t xml:space="preserve"> for Band B. If UE needs to trigger A-TRS for Band B from Band A, it is not clear whether UE supports this kind of operation.</w:t>
      </w:r>
      <w:r w:rsidR="00ED6104">
        <w:rPr>
          <w:lang w:eastAsia="zh-CN"/>
        </w:rPr>
        <w:t xml:space="preserve"> </w:t>
      </w:r>
    </w:p>
    <w:tbl>
      <w:tblPr>
        <w:tblStyle w:val="20"/>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C3208" w:rsidTr="00BB63B9">
        <w:trPr>
          <w:cantSplit/>
        </w:trPr>
        <w:tc>
          <w:tcPr>
            <w:tcW w:w="6917" w:type="dxa"/>
            <w:tcBorders>
              <w:top w:val="single" w:sz="4" w:space="0" w:color="808080"/>
              <w:left w:val="single" w:sz="4" w:space="0" w:color="808080"/>
              <w:bottom w:val="single" w:sz="4" w:space="0" w:color="808080"/>
              <w:right w:val="single" w:sz="4" w:space="0" w:color="808080"/>
            </w:tcBorders>
          </w:tcPr>
          <w:p w:rsidR="00CC3208" w:rsidRDefault="00CC3208" w:rsidP="00BB63B9">
            <w:pPr>
              <w:pStyle w:val="TAH"/>
              <w:rPr>
                <w:rFonts w:eastAsia="Malgun Gothic"/>
                <w:lang w:eastAsia="zh-CN"/>
              </w:rPr>
            </w:pPr>
            <w:r>
              <w:lastRenderedPageBreak/>
              <w:t>Definitions for parameters</w:t>
            </w:r>
          </w:p>
        </w:tc>
        <w:tc>
          <w:tcPr>
            <w:tcW w:w="709" w:type="dxa"/>
            <w:tcBorders>
              <w:top w:val="single" w:sz="4" w:space="0" w:color="808080"/>
              <w:left w:val="nil"/>
              <w:bottom w:val="single" w:sz="4" w:space="0" w:color="808080"/>
              <w:right w:val="single" w:sz="4" w:space="0" w:color="808080"/>
            </w:tcBorders>
          </w:tcPr>
          <w:p w:rsidR="00CC3208" w:rsidRDefault="00CC3208" w:rsidP="00BB63B9">
            <w:pPr>
              <w:pStyle w:val="TAH"/>
            </w:pPr>
            <w:r>
              <w:t>Per</w:t>
            </w:r>
          </w:p>
        </w:tc>
        <w:tc>
          <w:tcPr>
            <w:tcW w:w="567" w:type="dxa"/>
            <w:tcBorders>
              <w:top w:val="single" w:sz="4" w:space="0" w:color="808080"/>
              <w:left w:val="nil"/>
              <w:bottom w:val="single" w:sz="4" w:space="0" w:color="808080"/>
              <w:right w:val="single" w:sz="4" w:space="0" w:color="808080"/>
            </w:tcBorders>
          </w:tcPr>
          <w:p w:rsidR="00CC3208" w:rsidRDefault="00CC3208" w:rsidP="00BB63B9">
            <w:pPr>
              <w:pStyle w:val="TAH"/>
            </w:pPr>
            <w:r>
              <w:t>M</w:t>
            </w:r>
          </w:p>
        </w:tc>
        <w:tc>
          <w:tcPr>
            <w:tcW w:w="709" w:type="dxa"/>
            <w:tcBorders>
              <w:top w:val="single" w:sz="4" w:space="0" w:color="808080"/>
              <w:left w:val="nil"/>
              <w:bottom w:val="single" w:sz="4" w:space="0" w:color="808080"/>
              <w:right w:val="single" w:sz="4" w:space="0" w:color="808080"/>
            </w:tcBorders>
          </w:tcPr>
          <w:p w:rsidR="00CC3208" w:rsidRDefault="00CC3208" w:rsidP="00BB63B9">
            <w:pPr>
              <w:pStyle w:val="TAH"/>
            </w:pPr>
            <w:r>
              <w:t>FDD-TDD</w:t>
            </w:r>
          </w:p>
          <w:p w:rsidR="00CC3208" w:rsidRDefault="00CC3208" w:rsidP="00BB63B9">
            <w:pPr>
              <w:pStyle w:val="TAH"/>
            </w:pPr>
            <w:r>
              <w:t>DIFF</w:t>
            </w:r>
          </w:p>
        </w:tc>
        <w:tc>
          <w:tcPr>
            <w:tcW w:w="728" w:type="dxa"/>
            <w:tcBorders>
              <w:top w:val="single" w:sz="4" w:space="0" w:color="808080"/>
              <w:left w:val="nil"/>
              <w:bottom w:val="single" w:sz="4" w:space="0" w:color="808080"/>
              <w:right w:val="single" w:sz="4" w:space="0" w:color="808080"/>
            </w:tcBorders>
          </w:tcPr>
          <w:p w:rsidR="00CC3208" w:rsidRDefault="00CC3208" w:rsidP="00BB63B9">
            <w:pPr>
              <w:pStyle w:val="TAH"/>
            </w:pPr>
            <w:r>
              <w:t>FR1-FR2</w:t>
            </w:r>
          </w:p>
          <w:p w:rsidR="00CC3208" w:rsidRDefault="00CC3208" w:rsidP="00BB63B9">
            <w:pPr>
              <w:pStyle w:val="TAH"/>
            </w:pPr>
            <w:r>
              <w:t>DIFF</w:t>
            </w:r>
          </w:p>
        </w:tc>
      </w:tr>
      <w:tr w:rsidR="00CC3208" w:rsidTr="00BB63B9">
        <w:trPr>
          <w:cantSplit/>
        </w:trPr>
        <w:tc>
          <w:tcPr>
            <w:tcW w:w="6917" w:type="dxa"/>
            <w:tcBorders>
              <w:top w:val="single" w:sz="4" w:space="0" w:color="808080"/>
              <w:left w:val="single" w:sz="4" w:space="0" w:color="808080"/>
              <w:bottom w:val="single" w:sz="4" w:space="0" w:color="808080"/>
              <w:right w:val="single" w:sz="4" w:space="0" w:color="808080"/>
            </w:tcBorders>
          </w:tcPr>
          <w:p w:rsidR="00CC3208" w:rsidRDefault="00CC3208" w:rsidP="00BB63B9">
            <w:pPr>
              <w:pStyle w:val="TAL"/>
              <w:rPr>
                <w:b/>
                <w:bCs/>
                <w:i/>
                <w:iCs/>
              </w:rPr>
            </w:pPr>
            <w:r>
              <w:rPr>
                <w:b/>
                <w:bCs/>
                <w:i/>
                <w:iCs/>
              </w:rPr>
              <w:t>aperiodicTRS</w:t>
            </w:r>
          </w:p>
          <w:p w:rsidR="00CC3208" w:rsidRDefault="00CC3208" w:rsidP="00BB63B9">
            <w:pPr>
              <w:pStyle w:val="TAL"/>
            </w:pPr>
            <w:r>
              <w:rPr>
                <w:rFonts w:cs="Arial"/>
              </w:rPr>
              <w:t>Indicates whether the UE supports DCI triggering aperiodic TRS associated with periodic TRS.</w:t>
            </w:r>
          </w:p>
        </w:tc>
        <w:tc>
          <w:tcPr>
            <w:tcW w:w="709" w:type="dxa"/>
            <w:tcBorders>
              <w:top w:val="single" w:sz="4" w:space="0" w:color="808080"/>
              <w:left w:val="nil"/>
              <w:bottom w:val="single" w:sz="4" w:space="0" w:color="808080"/>
              <w:right w:val="single" w:sz="4" w:space="0" w:color="808080"/>
            </w:tcBorders>
          </w:tcPr>
          <w:p w:rsidR="00CC3208" w:rsidRDefault="00CC3208" w:rsidP="00BB63B9">
            <w:pPr>
              <w:pStyle w:val="TAL"/>
              <w:jc w:val="center"/>
            </w:pPr>
            <w:r>
              <w:rPr>
                <w:rFonts w:cs="Arial"/>
              </w:rPr>
              <w:t>Band</w:t>
            </w:r>
          </w:p>
        </w:tc>
        <w:tc>
          <w:tcPr>
            <w:tcW w:w="567" w:type="dxa"/>
            <w:tcBorders>
              <w:top w:val="single" w:sz="4" w:space="0" w:color="808080"/>
              <w:left w:val="nil"/>
              <w:bottom w:val="single" w:sz="4" w:space="0" w:color="808080"/>
              <w:right w:val="single" w:sz="4" w:space="0" w:color="808080"/>
            </w:tcBorders>
          </w:tcPr>
          <w:p w:rsidR="00CC3208" w:rsidRDefault="00CC3208" w:rsidP="00BB63B9">
            <w:pPr>
              <w:pStyle w:val="TAL"/>
              <w:jc w:val="center"/>
            </w:pPr>
            <w:r>
              <w:rPr>
                <w:rFonts w:cs="Arial"/>
              </w:rPr>
              <w:t>No</w:t>
            </w:r>
          </w:p>
        </w:tc>
        <w:tc>
          <w:tcPr>
            <w:tcW w:w="709" w:type="dxa"/>
            <w:tcBorders>
              <w:top w:val="single" w:sz="4" w:space="0" w:color="808080"/>
              <w:left w:val="nil"/>
              <w:bottom w:val="single" w:sz="4" w:space="0" w:color="808080"/>
              <w:right w:val="single" w:sz="4" w:space="0" w:color="808080"/>
            </w:tcBorders>
          </w:tcPr>
          <w:p w:rsidR="00CC3208" w:rsidRDefault="00E64C67" w:rsidP="00BB63B9">
            <w:pPr>
              <w:pStyle w:val="TAL"/>
              <w:jc w:val="center"/>
            </w:pPr>
            <w:r>
              <w:rPr>
                <w:rFonts w:cs="Arial"/>
              </w:rPr>
              <w:t>N/A</w:t>
            </w:r>
          </w:p>
        </w:tc>
        <w:tc>
          <w:tcPr>
            <w:tcW w:w="728" w:type="dxa"/>
            <w:tcBorders>
              <w:top w:val="single" w:sz="4" w:space="0" w:color="808080"/>
              <w:left w:val="nil"/>
              <w:bottom w:val="single" w:sz="4" w:space="0" w:color="808080"/>
              <w:right w:val="single" w:sz="4" w:space="0" w:color="808080"/>
            </w:tcBorders>
          </w:tcPr>
          <w:p w:rsidR="00CC3208" w:rsidRDefault="00E64C67" w:rsidP="00BB63B9">
            <w:pPr>
              <w:pStyle w:val="TAL"/>
              <w:jc w:val="center"/>
            </w:pPr>
            <w:r>
              <w:t>N/A</w:t>
            </w:r>
          </w:p>
        </w:tc>
      </w:tr>
    </w:tbl>
    <w:p w:rsidR="00CC3208" w:rsidRDefault="00CC3208" w:rsidP="005E536D">
      <w:pPr>
        <w:rPr>
          <w:lang w:eastAsia="zh-CN"/>
        </w:rPr>
      </w:pPr>
    </w:p>
    <w:p w:rsidR="005E536D" w:rsidRDefault="005E536D" w:rsidP="005E536D">
      <w:pPr>
        <w:rPr>
          <w:lang w:val="en-GB" w:eastAsia="zh-CN"/>
        </w:rPr>
      </w:pPr>
      <w:r>
        <w:rPr>
          <w:lang w:eastAsia="zh-CN"/>
        </w:rPr>
        <w:t xml:space="preserve">Both Rel-15 UE capability and Rel-16 UE capability have this </w:t>
      </w:r>
      <w:r w:rsidRPr="00970B71">
        <w:rPr>
          <w:lang w:val="en-GB" w:eastAsia="zh-CN"/>
        </w:rPr>
        <w:t>ambiguity</w:t>
      </w:r>
      <w:r>
        <w:rPr>
          <w:lang w:val="en-GB" w:eastAsia="zh-CN"/>
        </w:rPr>
        <w:t xml:space="preserve">. </w:t>
      </w:r>
      <w:r w:rsidR="00DE6E12">
        <w:rPr>
          <w:lang w:val="en-GB" w:eastAsia="zh-CN"/>
        </w:rPr>
        <w:t>For Rel-15 UE capability, clarification is needed to align companies’ understanding</w:t>
      </w:r>
      <w:r w:rsidR="00017E51">
        <w:rPr>
          <w:lang w:val="en-GB" w:eastAsia="zh-CN"/>
        </w:rPr>
        <w:t xml:space="preserve"> to facilitate the product implementation</w:t>
      </w:r>
      <w:r w:rsidR="00DE6E12">
        <w:rPr>
          <w:lang w:val="en-GB" w:eastAsia="zh-CN"/>
        </w:rPr>
        <w:t xml:space="preserve">. For Rel-16 UE capability under discussion, it </w:t>
      </w:r>
      <w:r w:rsidR="00017E51">
        <w:rPr>
          <w:lang w:val="en-GB" w:eastAsia="zh-CN"/>
        </w:rPr>
        <w:t>seems RAN1 didn’t discuss</w:t>
      </w:r>
      <w:r w:rsidR="00DE6E12">
        <w:rPr>
          <w:lang w:val="en-GB" w:eastAsia="zh-CN"/>
        </w:rPr>
        <w:t xml:space="preserve"> this issue due to the limited time budget. </w:t>
      </w:r>
      <w:r>
        <w:rPr>
          <w:lang w:val="en-GB" w:eastAsia="zh-CN"/>
        </w:rPr>
        <w:t>We’d like to draw companies’ attention to this issue and try to align companies’ understanding on how to interpret UE capability in case of cross-carrier operation.</w:t>
      </w:r>
      <w:r w:rsidR="00DE6E12">
        <w:rPr>
          <w:lang w:val="en-GB" w:eastAsia="zh-CN"/>
        </w:rPr>
        <w:t xml:space="preserve"> Thus, we propose the following proposal. </w:t>
      </w:r>
    </w:p>
    <w:p w:rsidR="005E536D" w:rsidRPr="004B0B32" w:rsidRDefault="00DE6E12" w:rsidP="005E536D">
      <w:pPr>
        <w:rPr>
          <w:i/>
          <w:lang w:val="en-GB" w:eastAsia="zh-CN"/>
        </w:rPr>
      </w:pPr>
      <w:r w:rsidRPr="004B0B32">
        <w:rPr>
          <w:rFonts w:hint="eastAsia"/>
          <w:b/>
          <w:i/>
          <w:lang w:val="en-GB" w:eastAsia="zh-CN"/>
        </w:rPr>
        <w:t>P</w:t>
      </w:r>
      <w:r w:rsidRPr="004B0B32">
        <w:rPr>
          <w:b/>
          <w:i/>
          <w:lang w:val="en-GB" w:eastAsia="zh-CN"/>
        </w:rPr>
        <w:t>roposal</w:t>
      </w:r>
      <w:r w:rsidR="004B0B32" w:rsidRPr="004B0B32">
        <w:rPr>
          <w:b/>
          <w:i/>
          <w:lang w:val="en-GB" w:eastAsia="zh-CN"/>
        </w:rPr>
        <w:t xml:space="preserve"> 3</w:t>
      </w:r>
      <w:r w:rsidRPr="004B0B32">
        <w:rPr>
          <w:i/>
          <w:lang w:val="en-GB" w:eastAsia="zh-CN"/>
        </w:rPr>
        <w:t xml:space="preserve">: </w:t>
      </w:r>
      <w:r w:rsidR="005E536D" w:rsidRPr="004B0B32">
        <w:rPr>
          <w:i/>
          <w:lang w:val="en-GB" w:eastAsia="zh-CN"/>
        </w:rPr>
        <w:t xml:space="preserve">For UE </w:t>
      </w:r>
      <w:r w:rsidRPr="004B0B32">
        <w:rPr>
          <w:i/>
          <w:lang w:val="en-GB" w:eastAsia="zh-CN"/>
        </w:rPr>
        <w:t>feature</w:t>
      </w:r>
      <w:r w:rsidR="005E536D" w:rsidRPr="004B0B32">
        <w:rPr>
          <w:i/>
          <w:lang w:val="en-GB" w:eastAsia="zh-CN"/>
        </w:rPr>
        <w:t xml:space="preserve"> related to cross-carrier operation (e.g., cross-carrier scheduling/triggering/indication), </w:t>
      </w:r>
      <w:r w:rsidRPr="004B0B32">
        <w:rPr>
          <w:i/>
          <w:lang w:val="en-GB" w:eastAsia="zh-CN"/>
        </w:rPr>
        <w:t>working group to clarify whether support of this feature should be based on</w:t>
      </w:r>
    </w:p>
    <w:p w:rsidR="00DE6E12" w:rsidRPr="004B0B32" w:rsidRDefault="00DE6E12" w:rsidP="004B0B32">
      <w:pPr>
        <w:ind w:leftChars="200" w:left="400"/>
        <w:rPr>
          <w:i/>
          <w:lang w:val="en-GB" w:eastAsia="zh-CN"/>
        </w:rPr>
      </w:pPr>
      <w:r w:rsidRPr="004B0B32">
        <w:rPr>
          <w:i/>
          <w:lang w:val="en-GB" w:eastAsia="zh-CN"/>
        </w:rPr>
        <w:t>Alt.1 the support of this feature for both scheduling/triggering/indicating cell and scheduled/triggered/indicated cell.</w:t>
      </w:r>
    </w:p>
    <w:p w:rsidR="00DE6E12" w:rsidRPr="004B0B32" w:rsidRDefault="00DE6E12" w:rsidP="004B0B32">
      <w:pPr>
        <w:ind w:leftChars="200" w:left="400"/>
        <w:rPr>
          <w:i/>
          <w:lang w:val="en-GB" w:eastAsia="zh-CN"/>
        </w:rPr>
      </w:pPr>
      <w:r w:rsidRPr="004B0B32">
        <w:rPr>
          <w:i/>
          <w:lang w:val="en-GB" w:eastAsia="zh-CN"/>
        </w:rPr>
        <w:t>Alt.2 the support of this feature for the scheduling/triggering/indicating cell only.</w:t>
      </w:r>
    </w:p>
    <w:p w:rsidR="00DE6E12" w:rsidRPr="004B0B32" w:rsidRDefault="00DE6E12" w:rsidP="004B0B32">
      <w:pPr>
        <w:ind w:leftChars="200" w:left="400"/>
        <w:rPr>
          <w:i/>
          <w:lang w:val="en-GB" w:eastAsia="zh-CN"/>
        </w:rPr>
      </w:pPr>
      <w:r w:rsidRPr="004B0B32">
        <w:rPr>
          <w:i/>
          <w:lang w:val="en-GB" w:eastAsia="zh-CN"/>
        </w:rPr>
        <w:t>Alt.3 the support of this feature for the scheduled/triggered/indicated cell only.</w:t>
      </w:r>
    </w:p>
    <w:p w:rsidR="00CC3208" w:rsidRPr="004B0B32" w:rsidRDefault="004B0B32">
      <w:pPr>
        <w:rPr>
          <w:i/>
          <w:lang w:eastAsia="zh-CN"/>
        </w:rPr>
      </w:pPr>
      <w:r w:rsidRPr="004B0B32">
        <w:rPr>
          <w:rFonts w:hint="eastAsia"/>
          <w:i/>
          <w:lang w:eastAsia="zh-CN"/>
        </w:rPr>
        <w:t>N</w:t>
      </w:r>
      <w:r w:rsidRPr="004B0B32">
        <w:rPr>
          <w:i/>
          <w:lang w:eastAsia="zh-CN"/>
        </w:rPr>
        <w:t xml:space="preserve">ote: RAN1 has clarified the above issue in Rel-15 for UE features with </w:t>
      </w:r>
      <w:r w:rsidRPr="004B0B32">
        <w:rPr>
          <w:i/>
          <w:lang w:val="en-GB" w:eastAsia="zh-CN"/>
        </w:rPr>
        <w:t xml:space="preserve">FDD/TDD and/or FR1/FR2 differentiation. However, in case of cross-carrier operation, clarification for UE features without FDD/TDD or FR1/FR2 differentiation is </w:t>
      </w:r>
      <w:r w:rsidR="00017E51">
        <w:rPr>
          <w:i/>
          <w:lang w:val="en-GB" w:eastAsia="zh-CN"/>
        </w:rPr>
        <w:t xml:space="preserve">also </w:t>
      </w:r>
      <w:r w:rsidRPr="004B0B32">
        <w:rPr>
          <w:i/>
          <w:lang w:val="en-GB" w:eastAsia="zh-CN"/>
        </w:rPr>
        <w:t>needed for both Rel-15 and Rel-16 UE feature.</w:t>
      </w:r>
    </w:p>
    <w:p w:rsidR="004B0B32" w:rsidRPr="00CC3208" w:rsidRDefault="004B0B32">
      <w:pPr>
        <w:rPr>
          <w:lang w:eastAsia="zh-CN"/>
        </w:rPr>
      </w:pPr>
    </w:p>
    <w:p w:rsidR="009E2C51" w:rsidRDefault="00DE5D1C">
      <w:pPr>
        <w:pStyle w:val="Heading1"/>
        <w:rPr>
          <w:lang w:eastAsia="zh-CN"/>
        </w:rPr>
      </w:pPr>
      <w:r>
        <w:rPr>
          <w:rFonts w:hint="eastAsia"/>
          <w:lang w:eastAsia="zh-CN"/>
        </w:rPr>
        <w:t>C</w:t>
      </w:r>
      <w:r>
        <w:rPr>
          <w:lang w:eastAsia="zh-CN"/>
        </w:rPr>
        <w:t>onclusion</w:t>
      </w:r>
    </w:p>
    <w:p w:rsidR="009E2C51" w:rsidRDefault="00DE5D1C">
      <w:pPr>
        <w:rPr>
          <w:lang w:val="en-GB" w:eastAsia="zh-CN"/>
        </w:rPr>
      </w:pPr>
      <w:r>
        <w:rPr>
          <w:rFonts w:hint="eastAsia"/>
          <w:lang w:val="en-GB" w:eastAsia="zh-CN"/>
        </w:rPr>
        <w:t>I</w:t>
      </w:r>
      <w:r>
        <w:rPr>
          <w:lang w:val="en-GB" w:eastAsia="zh-CN"/>
        </w:rPr>
        <w:t xml:space="preserve">n this contribution, we have the following </w:t>
      </w:r>
      <w:r>
        <w:rPr>
          <w:rFonts w:hint="eastAsia"/>
          <w:lang w:eastAsia="zh-CN"/>
        </w:rPr>
        <w:t xml:space="preserve">observations and </w:t>
      </w:r>
      <w:r>
        <w:rPr>
          <w:lang w:val="en-GB" w:eastAsia="zh-CN"/>
        </w:rPr>
        <w:t>proposal</w:t>
      </w:r>
      <w:r>
        <w:rPr>
          <w:rFonts w:hint="eastAsia"/>
          <w:lang w:eastAsia="zh-CN"/>
        </w:rPr>
        <w:t>s</w:t>
      </w:r>
      <w:r>
        <w:rPr>
          <w:lang w:val="en-GB" w:eastAsia="zh-CN"/>
        </w:rPr>
        <w:t xml:space="preserve">.   </w:t>
      </w:r>
    </w:p>
    <w:p w:rsidR="009E2C51" w:rsidRDefault="00DE5D1C">
      <w:pPr>
        <w:spacing w:after="0"/>
        <w:rPr>
          <w:i/>
          <w:iCs/>
          <w:lang w:eastAsia="zh-CN"/>
        </w:rPr>
      </w:pPr>
      <w:r>
        <w:rPr>
          <w:rFonts w:hint="eastAsia"/>
          <w:b/>
          <w:bCs/>
          <w:i/>
          <w:iCs/>
          <w:lang w:eastAsia="zh-CN"/>
        </w:rPr>
        <w:t xml:space="preserve">Proposal 1: </w:t>
      </w:r>
      <w:r>
        <w:rPr>
          <w:rFonts w:hint="eastAsia"/>
          <w:i/>
          <w:iCs/>
          <w:lang w:eastAsia="zh-CN"/>
        </w:rPr>
        <w:t>Support Approach 2 for Rel-16 URLLC UE features.</w:t>
      </w:r>
    </w:p>
    <w:p w:rsidR="009E2C51" w:rsidRDefault="00DE5D1C">
      <w:pPr>
        <w:spacing w:after="0"/>
        <w:rPr>
          <w:iCs/>
          <w:kern w:val="2"/>
          <w:lang w:eastAsia="zh-CN"/>
        </w:rPr>
      </w:pPr>
      <w:r>
        <w:rPr>
          <w:rFonts w:hint="eastAsia"/>
          <w:i/>
          <w:iCs/>
          <w:lang w:eastAsia="zh-CN"/>
        </w:rPr>
        <w:t xml:space="preserve">  </w:t>
      </w:r>
      <w:r>
        <w:rPr>
          <w:rFonts w:hint="eastAsia"/>
          <w:iCs/>
          <w:kern w:val="2"/>
          <w:lang w:eastAsia="zh-CN"/>
        </w:rPr>
        <w:t xml:space="preserve"> </w:t>
      </w:r>
    </w:p>
    <w:p w:rsidR="00EA2FA6" w:rsidRDefault="00EA2FA6">
      <w:pPr>
        <w:spacing w:after="0"/>
        <w:rPr>
          <w:iCs/>
          <w:kern w:val="2"/>
          <w:lang w:eastAsia="zh-CN"/>
        </w:rPr>
      </w:pPr>
    </w:p>
    <w:p w:rsidR="003911E9" w:rsidRDefault="003911E9" w:rsidP="003911E9">
      <w:pPr>
        <w:rPr>
          <w:i/>
          <w:lang w:eastAsia="zh-CN"/>
        </w:rPr>
      </w:pPr>
      <w:r w:rsidRPr="004B0B32">
        <w:rPr>
          <w:b/>
          <w:i/>
          <w:lang w:eastAsia="zh-CN"/>
        </w:rPr>
        <w:t>Proposal 2</w:t>
      </w:r>
      <w:r w:rsidRPr="004B0B32">
        <w:rPr>
          <w:i/>
          <w:lang w:eastAsia="zh-CN"/>
        </w:rPr>
        <w:t>:</w:t>
      </w:r>
      <w:r w:rsidRPr="004B0B32">
        <w:rPr>
          <w:rFonts w:hint="eastAsia"/>
          <w:i/>
          <w:lang w:eastAsia="zh-CN"/>
        </w:rPr>
        <w:t xml:space="preserve"> </w:t>
      </w:r>
      <w:r w:rsidRPr="004B0B32">
        <w:rPr>
          <w:i/>
          <w:lang w:eastAsia="zh-CN"/>
        </w:rPr>
        <w:t>RAN reconfirms that</w:t>
      </w:r>
    </w:p>
    <w:p w:rsidR="003911E9" w:rsidRPr="004B0B32" w:rsidRDefault="003911E9" w:rsidP="003911E9">
      <w:pPr>
        <w:ind w:leftChars="200" w:left="400"/>
        <w:rPr>
          <w:i/>
          <w:lang w:eastAsia="zh-CN"/>
        </w:rPr>
      </w:pPr>
      <w:r w:rsidRPr="004B0B32">
        <w:rPr>
          <w:i/>
          <w:lang w:eastAsia="zh-CN"/>
        </w:rPr>
        <w:t>All Release-16 UEs supporting sync NR-DC are required to support both SFN sync-DC and non-SFN sync-DC</w:t>
      </w:r>
      <w:r w:rsidRPr="003911E9">
        <w:rPr>
          <w:i/>
          <w:lang w:eastAsia="zh-CN"/>
        </w:rPr>
        <w:t xml:space="preserve"> (i.e. Rel-16 UEs will not be allowed to set the inca</w:t>
      </w:r>
      <w:r>
        <w:rPr>
          <w:i/>
          <w:lang w:eastAsia="zh-CN"/>
        </w:rPr>
        <w:t>pability bit defined in Rel-15)</w:t>
      </w:r>
      <w:r w:rsidRPr="004B0B32">
        <w:rPr>
          <w:i/>
          <w:lang w:eastAsia="zh-CN"/>
        </w:rPr>
        <w:t>.</w:t>
      </w:r>
    </w:p>
    <w:p w:rsidR="00EA2FA6" w:rsidRDefault="003911E9" w:rsidP="003911E9">
      <w:pPr>
        <w:ind w:leftChars="200" w:left="400"/>
        <w:rPr>
          <w:i/>
          <w:lang w:eastAsia="zh-CN"/>
        </w:rPr>
      </w:pPr>
      <w:r w:rsidRPr="004B0B32">
        <w:rPr>
          <w:i/>
          <w:lang w:eastAsia="zh-CN"/>
        </w:rPr>
        <w:t>Release-15 UEs supporting NR-DC are mandated to support slot aligned non-SFN-sync DC</w:t>
      </w:r>
      <w:r>
        <w:rPr>
          <w:i/>
          <w:lang w:eastAsia="zh-CN"/>
        </w:rPr>
        <w:t xml:space="preserve"> from RAN#88e</w:t>
      </w:r>
      <w:r w:rsidRPr="003911E9">
        <w:rPr>
          <w:i/>
          <w:lang w:eastAsia="zh-CN"/>
        </w:rPr>
        <w:t xml:space="preserve"> (i.e. from June 2020 version of the specs, also Rel-15 UEs will not be allowed to set the incapability bit).</w:t>
      </w:r>
    </w:p>
    <w:p w:rsidR="003911E9" w:rsidRDefault="003911E9" w:rsidP="003911E9">
      <w:pPr>
        <w:ind w:leftChars="200" w:left="400"/>
        <w:rPr>
          <w:i/>
          <w:lang w:eastAsia="zh-CN"/>
        </w:rPr>
      </w:pPr>
    </w:p>
    <w:p w:rsidR="00017E51" w:rsidRPr="004B0B32" w:rsidRDefault="00017E51" w:rsidP="00017E51">
      <w:pPr>
        <w:rPr>
          <w:i/>
          <w:lang w:val="en-GB" w:eastAsia="zh-CN"/>
        </w:rPr>
      </w:pPr>
      <w:r w:rsidRPr="004B0B32">
        <w:rPr>
          <w:rFonts w:hint="eastAsia"/>
          <w:b/>
          <w:i/>
          <w:lang w:val="en-GB" w:eastAsia="zh-CN"/>
        </w:rPr>
        <w:t>P</w:t>
      </w:r>
      <w:r w:rsidRPr="004B0B32">
        <w:rPr>
          <w:b/>
          <w:i/>
          <w:lang w:val="en-GB" w:eastAsia="zh-CN"/>
        </w:rPr>
        <w:t>roposal 3</w:t>
      </w:r>
      <w:r w:rsidRPr="004B0B32">
        <w:rPr>
          <w:i/>
          <w:lang w:val="en-GB" w:eastAsia="zh-CN"/>
        </w:rPr>
        <w:t>: For UE feature related to cross-carrier operation (e.g., cross-carrier scheduling/triggering/indication), working group to clarify whether support of this feature should be based on</w:t>
      </w:r>
    </w:p>
    <w:p w:rsidR="00017E51" w:rsidRPr="004B0B32" w:rsidRDefault="00017E51" w:rsidP="00017E51">
      <w:pPr>
        <w:ind w:leftChars="200" w:left="400"/>
        <w:rPr>
          <w:i/>
          <w:lang w:val="en-GB" w:eastAsia="zh-CN"/>
        </w:rPr>
      </w:pPr>
      <w:r w:rsidRPr="004B0B32">
        <w:rPr>
          <w:i/>
          <w:lang w:val="en-GB" w:eastAsia="zh-CN"/>
        </w:rPr>
        <w:t>Alt.1 the support of this feature for both sch</w:t>
      </w:r>
      <w:bookmarkStart w:id="3" w:name="_GoBack"/>
      <w:bookmarkEnd w:id="3"/>
      <w:r w:rsidRPr="004B0B32">
        <w:rPr>
          <w:i/>
          <w:lang w:val="en-GB" w:eastAsia="zh-CN"/>
        </w:rPr>
        <w:t>eduling/triggering/indicating cell and scheduled/triggered/indicated cell.</w:t>
      </w:r>
    </w:p>
    <w:p w:rsidR="00017E51" w:rsidRPr="004B0B32" w:rsidRDefault="00017E51" w:rsidP="00017E51">
      <w:pPr>
        <w:ind w:leftChars="200" w:left="400"/>
        <w:rPr>
          <w:i/>
          <w:lang w:val="en-GB" w:eastAsia="zh-CN"/>
        </w:rPr>
      </w:pPr>
      <w:r w:rsidRPr="004B0B32">
        <w:rPr>
          <w:i/>
          <w:lang w:val="en-GB" w:eastAsia="zh-CN"/>
        </w:rPr>
        <w:t>Alt.2 the support of this feature for the scheduling/triggering/indicating cell only.</w:t>
      </w:r>
    </w:p>
    <w:p w:rsidR="00017E51" w:rsidRPr="004B0B32" w:rsidRDefault="00017E51" w:rsidP="00017E51">
      <w:pPr>
        <w:ind w:leftChars="200" w:left="400"/>
        <w:rPr>
          <w:i/>
          <w:lang w:val="en-GB" w:eastAsia="zh-CN"/>
        </w:rPr>
      </w:pPr>
      <w:r w:rsidRPr="004B0B32">
        <w:rPr>
          <w:i/>
          <w:lang w:val="en-GB" w:eastAsia="zh-CN"/>
        </w:rPr>
        <w:t>Alt.3 the support of this feature for the scheduled/triggered/indicated cell only.</w:t>
      </w:r>
    </w:p>
    <w:p w:rsidR="00017E51" w:rsidRPr="004B0B32" w:rsidRDefault="00017E51" w:rsidP="00017E51">
      <w:pPr>
        <w:rPr>
          <w:i/>
          <w:lang w:eastAsia="zh-CN"/>
        </w:rPr>
      </w:pPr>
      <w:r w:rsidRPr="004B0B32">
        <w:rPr>
          <w:rFonts w:hint="eastAsia"/>
          <w:i/>
          <w:lang w:eastAsia="zh-CN"/>
        </w:rPr>
        <w:t>N</w:t>
      </w:r>
      <w:r w:rsidRPr="004B0B32">
        <w:rPr>
          <w:i/>
          <w:lang w:eastAsia="zh-CN"/>
        </w:rPr>
        <w:t xml:space="preserve">ote: RAN1 has clarified the above issue in Rel-15 for UE features with </w:t>
      </w:r>
      <w:r w:rsidRPr="004B0B32">
        <w:rPr>
          <w:i/>
          <w:lang w:val="en-GB" w:eastAsia="zh-CN"/>
        </w:rPr>
        <w:t xml:space="preserve">FDD/TDD and/or FR1/FR2 differentiation. However, in case of cross-carrier operation, clarification for UE features without FDD/TDD or FR1/FR2 differentiation is </w:t>
      </w:r>
      <w:r>
        <w:rPr>
          <w:i/>
          <w:lang w:val="en-GB" w:eastAsia="zh-CN"/>
        </w:rPr>
        <w:t xml:space="preserve">also </w:t>
      </w:r>
      <w:r w:rsidRPr="004B0B32">
        <w:rPr>
          <w:i/>
          <w:lang w:val="en-GB" w:eastAsia="zh-CN"/>
        </w:rPr>
        <w:t>needed for both Rel-15 and Rel-16 UE feature.</w:t>
      </w:r>
    </w:p>
    <w:p w:rsidR="002711AD" w:rsidRPr="00017E51" w:rsidRDefault="002711AD" w:rsidP="002711AD">
      <w:pPr>
        <w:ind w:leftChars="100" w:left="200"/>
        <w:rPr>
          <w:i/>
          <w:lang w:eastAsia="zh-CN"/>
        </w:rPr>
      </w:pPr>
    </w:p>
    <w:p w:rsidR="009E2C51" w:rsidRDefault="00DE5D1C">
      <w:pPr>
        <w:pStyle w:val="Heading1"/>
        <w:rPr>
          <w:lang w:eastAsia="zh-CN"/>
        </w:rPr>
      </w:pPr>
      <w:r>
        <w:rPr>
          <w:rFonts w:hint="eastAsia"/>
          <w:lang w:eastAsia="zh-CN"/>
        </w:rPr>
        <w:lastRenderedPageBreak/>
        <w:t>R</w:t>
      </w:r>
      <w:r>
        <w:rPr>
          <w:lang w:eastAsia="zh-CN"/>
        </w:rPr>
        <w:t>eference</w:t>
      </w:r>
    </w:p>
    <w:p w:rsidR="009E2C51" w:rsidRDefault="00DE5D1C">
      <w:pPr>
        <w:pStyle w:val="References"/>
        <w:rPr>
          <w:lang w:eastAsia="zh-CN"/>
        </w:rPr>
      </w:pPr>
      <w:bookmarkStart w:id="4" w:name="_Ref19801165"/>
      <w:bookmarkStart w:id="5" w:name="_Ref7029524"/>
      <w:bookmarkStart w:id="6" w:name="_Ref19798002"/>
      <w:bookmarkStart w:id="7" w:name="_Ref23862154"/>
      <w:r>
        <w:rPr>
          <w:lang w:eastAsia="zh-CN"/>
        </w:rPr>
        <w:t xml:space="preserve">R1-2005110, RAN1 UE features list for Rel-16 NR updated after RAN1#101-e, </w:t>
      </w:r>
      <w:r w:rsidR="00795CF1">
        <w:rPr>
          <w:rFonts w:hint="eastAsia"/>
          <w:sz w:val="21"/>
          <w:lang w:eastAsia="zh-CN"/>
        </w:rPr>
        <w:t xml:space="preserve">3GPP RAN1#101-e, </w:t>
      </w:r>
      <w:r>
        <w:rPr>
          <w:lang w:eastAsia="zh-CN"/>
        </w:rPr>
        <w:t>Moderators (AT&amp;T, NTT DOCOMO, INC.).</w:t>
      </w:r>
      <w:bookmarkEnd w:id="4"/>
      <w:bookmarkEnd w:id="5"/>
      <w:bookmarkEnd w:id="6"/>
      <w:bookmarkEnd w:id="7"/>
    </w:p>
    <w:p w:rsidR="009E2C51" w:rsidRPr="00555A03" w:rsidRDefault="00DE5D1C">
      <w:pPr>
        <w:pStyle w:val="References"/>
        <w:rPr>
          <w:sz w:val="21"/>
          <w:lang w:eastAsia="zh-CN"/>
        </w:rPr>
      </w:pPr>
      <w:r w:rsidRPr="00555A03">
        <w:rPr>
          <w:sz w:val="21"/>
          <w:lang w:eastAsia="zh-CN"/>
        </w:rPr>
        <w:t>RP-200502</w:t>
      </w:r>
      <w:r>
        <w:rPr>
          <w:rFonts w:hint="eastAsia"/>
          <w:sz w:val="21"/>
          <w:lang w:eastAsia="zh-CN"/>
        </w:rPr>
        <w:t xml:space="preserve">, </w:t>
      </w:r>
      <w:r w:rsidRPr="00555A03">
        <w:rPr>
          <w:sz w:val="21"/>
          <w:lang w:eastAsia="zh-CN"/>
        </w:rPr>
        <w:t>Informational summary on email discussion: [Rel16_UE_capabilities] Exchange of views</w:t>
      </w:r>
      <w:r>
        <w:rPr>
          <w:rFonts w:hint="eastAsia"/>
          <w:sz w:val="21"/>
          <w:lang w:eastAsia="zh-CN"/>
        </w:rPr>
        <w:t xml:space="preserve">, </w:t>
      </w:r>
      <w:r w:rsidR="00562E55">
        <w:rPr>
          <w:rFonts w:hint="eastAsia"/>
          <w:sz w:val="21"/>
          <w:lang w:eastAsia="zh-CN"/>
        </w:rPr>
        <w:t xml:space="preserve">3GPP RAN#87-e, </w:t>
      </w:r>
      <w:r w:rsidRPr="00555A03">
        <w:rPr>
          <w:sz w:val="21"/>
          <w:lang w:eastAsia="zh-CN"/>
        </w:rPr>
        <w:t>NTT DOCOMO, INC.</w:t>
      </w:r>
    </w:p>
    <w:p w:rsidR="009E2C51" w:rsidRDefault="00DE5D1C" w:rsidP="00555A03">
      <w:pPr>
        <w:pStyle w:val="References"/>
        <w:rPr>
          <w:lang w:eastAsia="zh-CN"/>
        </w:rPr>
      </w:pPr>
      <w:bookmarkStart w:id="8" w:name="_Ref43456430"/>
      <w:r>
        <w:rPr>
          <w:lang w:eastAsia="zh-CN"/>
        </w:rPr>
        <w:t xml:space="preserve">RP-192345, Discussion outcome on synchronous NR-NR DC, </w:t>
      </w:r>
      <w:r w:rsidR="00562E55">
        <w:rPr>
          <w:rFonts w:hint="eastAsia"/>
          <w:sz w:val="21"/>
          <w:lang w:eastAsia="zh-CN"/>
        </w:rPr>
        <w:t xml:space="preserve">3GPP RAN#85, </w:t>
      </w:r>
      <w:r>
        <w:rPr>
          <w:lang w:eastAsia="zh-CN"/>
        </w:rPr>
        <w:t>Qualcomm.</w:t>
      </w:r>
      <w:bookmarkEnd w:id="8"/>
    </w:p>
    <w:p w:rsidR="00970B71" w:rsidRDefault="00970B71" w:rsidP="00970B71">
      <w:pPr>
        <w:pStyle w:val="References"/>
        <w:rPr>
          <w:lang w:eastAsia="zh-CN"/>
        </w:rPr>
      </w:pPr>
      <w:bookmarkStart w:id="9" w:name="_Ref43738675"/>
      <w:r w:rsidRPr="00970B71">
        <w:rPr>
          <w:lang w:eastAsia="zh-CN"/>
        </w:rPr>
        <w:t>R1-1911741</w:t>
      </w:r>
      <w:r>
        <w:rPr>
          <w:lang w:eastAsia="zh-CN"/>
        </w:rPr>
        <w:t xml:space="preserve">, </w:t>
      </w:r>
      <w:r w:rsidRPr="00970B71">
        <w:rPr>
          <w:lang w:eastAsia="zh-CN"/>
        </w:rPr>
        <w:t>Reply LS on ambiguity of UE L1 FDD/TDD FR1/FR2 capabilities</w:t>
      </w:r>
      <w:r>
        <w:rPr>
          <w:lang w:eastAsia="zh-CN"/>
        </w:rPr>
        <w:t xml:space="preserve">, </w:t>
      </w:r>
      <w:r w:rsidR="00562E55">
        <w:rPr>
          <w:lang w:eastAsia="zh-CN"/>
        </w:rPr>
        <w:t xml:space="preserve">3GPP RAN1#98bis, </w:t>
      </w:r>
      <w:r>
        <w:rPr>
          <w:lang w:eastAsia="zh-CN"/>
        </w:rPr>
        <w:t>ZTE</w:t>
      </w:r>
      <w:bookmarkEnd w:id="9"/>
    </w:p>
    <w:p w:rsidR="00795CF1" w:rsidRDefault="00795CF1" w:rsidP="00795CF1">
      <w:pPr>
        <w:pStyle w:val="References"/>
        <w:rPr>
          <w:lang w:eastAsia="zh-CN"/>
        </w:rPr>
      </w:pPr>
      <w:bookmarkStart w:id="10" w:name="_Ref43743250"/>
      <w:r w:rsidRPr="00795CF1">
        <w:rPr>
          <w:lang w:eastAsia="zh-CN"/>
        </w:rPr>
        <w:t>R2-1913997</w:t>
      </w:r>
      <w:r>
        <w:rPr>
          <w:lang w:eastAsia="zh-CN"/>
        </w:rPr>
        <w:t xml:space="preserve">, </w:t>
      </w:r>
      <w:r w:rsidRPr="00795CF1">
        <w:rPr>
          <w:lang w:eastAsia="zh-CN"/>
        </w:rPr>
        <w:t>LS on UE feature list format for Release-16 UE capability</w:t>
      </w:r>
      <w:r>
        <w:rPr>
          <w:lang w:eastAsia="zh-CN"/>
        </w:rPr>
        <w:t xml:space="preserve">, </w:t>
      </w:r>
      <w:r w:rsidR="00562E55">
        <w:rPr>
          <w:lang w:eastAsia="zh-CN"/>
        </w:rPr>
        <w:t xml:space="preserve">3GPP RAN2#107bis, </w:t>
      </w:r>
      <w:r>
        <w:rPr>
          <w:lang w:eastAsia="zh-CN"/>
        </w:rPr>
        <w:t>Intel.</w:t>
      </w:r>
      <w:bookmarkEnd w:id="10"/>
    </w:p>
    <w:sectPr w:rsidR="00795CF1">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3A1" w:rsidRDefault="00DB23A1">
      <w:pPr>
        <w:spacing w:after="0"/>
      </w:pPr>
      <w:r>
        <w:separator/>
      </w:r>
    </w:p>
  </w:endnote>
  <w:endnote w:type="continuationSeparator" w:id="0">
    <w:p w:rsidR="00DB23A1" w:rsidRDefault="00DB2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B32" w:rsidRDefault="004B0B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B0B32" w:rsidRDefault="004B0B3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B32" w:rsidRDefault="004B0B32">
    <w:pPr>
      <w:pStyle w:val="Footer"/>
      <w:ind w:right="360"/>
    </w:pPr>
    <w:r>
      <w:rPr>
        <w:rStyle w:val="PageNumber"/>
      </w:rPr>
      <w:fldChar w:fldCharType="begin"/>
    </w:r>
    <w:r>
      <w:rPr>
        <w:rStyle w:val="PageNumber"/>
      </w:rPr>
      <w:instrText xml:space="preserve"> PAGE </w:instrText>
    </w:r>
    <w:r>
      <w:rPr>
        <w:rStyle w:val="PageNumber"/>
      </w:rPr>
      <w:fldChar w:fldCharType="separate"/>
    </w:r>
    <w:r w:rsidR="00267DD0">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67DD0">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3A1" w:rsidRDefault="00DB23A1">
      <w:pPr>
        <w:spacing w:after="0"/>
      </w:pPr>
      <w:r>
        <w:separator/>
      </w:r>
    </w:p>
  </w:footnote>
  <w:footnote w:type="continuationSeparator" w:id="0">
    <w:p w:rsidR="00DB23A1" w:rsidRDefault="00DB23A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B32" w:rsidRDefault="004B0B3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6015850"/>
    <w:multiLevelType w:val="multilevel"/>
    <w:tmpl w:val="46015850"/>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534257F5"/>
    <w:multiLevelType w:val="multilevel"/>
    <w:tmpl w:val="534257F5"/>
    <w:lvl w:ilvl="0">
      <w:start w:val="5"/>
      <w:numFmt w:val="bullet"/>
      <w:lvlText w:val="-"/>
      <w:lvlJc w:val="left"/>
      <w:pPr>
        <w:ind w:left="360" w:hanging="360"/>
      </w:pPr>
      <w:rPr>
        <w:rFonts w:ascii="Yu Gothic" w:eastAsia="Yu Gothic" w:hAnsi="Yu Gothic"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B7E38D7"/>
    <w:multiLevelType w:val="multilevel"/>
    <w:tmpl w:val="5B7E38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8"/>
  </w:num>
  <w:num w:numId="4">
    <w:abstractNumId w:val="3"/>
  </w:num>
  <w:num w:numId="5">
    <w:abstractNumId w:val="10"/>
  </w:num>
  <w:num w:numId="6">
    <w:abstractNumId w:val="7"/>
  </w:num>
  <w:num w:numId="7">
    <w:abstractNumId w:val="2"/>
  </w:num>
  <w:num w:numId="8">
    <w:abstractNumId w:val="9"/>
  </w:num>
  <w:num w:numId="9">
    <w:abstractNumId w:val="5"/>
  </w:num>
  <w:num w:numId="10">
    <w:abstractNumId w:val="4"/>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2CA"/>
    <w:rsid w:val="00016441"/>
    <w:rsid w:val="0001645D"/>
    <w:rsid w:val="000164BB"/>
    <w:rsid w:val="000167A6"/>
    <w:rsid w:val="00016DCE"/>
    <w:rsid w:val="00017309"/>
    <w:rsid w:val="000178F8"/>
    <w:rsid w:val="00017E51"/>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0D2B"/>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804"/>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992"/>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67D"/>
    <w:rsid w:val="000B59AA"/>
    <w:rsid w:val="000B5A06"/>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9"/>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A87"/>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4F3F"/>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AFD"/>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43D"/>
    <w:rsid w:val="001E6793"/>
    <w:rsid w:val="001E6AC4"/>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200"/>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6FB"/>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974"/>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DD0"/>
    <w:rsid w:val="00267FE3"/>
    <w:rsid w:val="002706CC"/>
    <w:rsid w:val="002708DA"/>
    <w:rsid w:val="00270C63"/>
    <w:rsid w:val="00270C98"/>
    <w:rsid w:val="00270CF1"/>
    <w:rsid w:val="00270E57"/>
    <w:rsid w:val="00270E80"/>
    <w:rsid w:val="002711AD"/>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4AE"/>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78C"/>
    <w:rsid w:val="002F7919"/>
    <w:rsid w:val="002F7B6D"/>
    <w:rsid w:val="002F7D48"/>
    <w:rsid w:val="002F7EC5"/>
    <w:rsid w:val="00300085"/>
    <w:rsid w:val="003000F1"/>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F46"/>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30C"/>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645"/>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3D7D"/>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8AE"/>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1E9"/>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4A4"/>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26B"/>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1EC8"/>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B0B"/>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F72"/>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0C4"/>
    <w:rsid w:val="004A7172"/>
    <w:rsid w:val="004A7276"/>
    <w:rsid w:val="004A746B"/>
    <w:rsid w:val="004A770C"/>
    <w:rsid w:val="004A77E0"/>
    <w:rsid w:val="004A7B2B"/>
    <w:rsid w:val="004A7C0D"/>
    <w:rsid w:val="004A7EE7"/>
    <w:rsid w:val="004A7FB0"/>
    <w:rsid w:val="004B0706"/>
    <w:rsid w:val="004B0780"/>
    <w:rsid w:val="004B0787"/>
    <w:rsid w:val="004B0B32"/>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827"/>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852"/>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2D"/>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03"/>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2E55"/>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77FBF"/>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36D"/>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C30"/>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42A"/>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C5"/>
    <w:rsid w:val="006B24F8"/>
    <w:rsid w:val="006B254D"/>
    <w:rsid w:val="006B2DF5"/>
    <w:rsid w:val="006B3171"/>
    <w:rsid w:val="006B34DD"/>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45"/>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93C"/>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379EE"/>
    <w:rsid w:val="007401AF"/>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5CF1"/>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384"/>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09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8D5"/>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7"/>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6F1E"/>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2737"/>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B4"/>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192"/>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AB1"/>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B71"/>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6E6"/>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5E8"/>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086"/>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51"/>
    <w:rsid w:val="009E2CB8"/>
    <w:rsid w:val="009E2DD3"/>
    <w:rsid w:val="009E2EAE"/>
    <w:rsid w:val="009E2F97"/>
    <w:rsid w:val="009E342B"/>
    <w:rsid w:val="009E3644"/>
    <w:rsid w:val="009E3759"/>
    <w:rsid w:val="009E3790"/>
    <w:rsid w:val="009E3C31"/>
    <w:rsid w:val="009E3E19"/>
    <w:rsid w:val="009E457F"/>
    <w:rsid w:val="009E4FCC"/>
    <w:rsid w:val="009E5656"/>
    <w:rsid w:val="009E5AB4"/>
    <w:rsid w:val="009E60C7"/>
    <w:rsid w:val="009E641D"/>
    <w:rsid w:val="009E6463"/>
    <w:rsid w:val="009E6A27"/>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C01"/>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BB"/>
    <w:rsid w:val="00A325C2"/>
    <w:rsid w:val="00A325CC"/>
    <w:rsid w:val="00A326E5"/>
    <w:rsid w:val="00A327E2"/>
    <w:rsid w:val="00A329BB"/>
    <w:rsid w:val="00A32A44"/>
    <w:rsid w:val="00A32C37"/>
    <w:rsid w:val="00A331E5"/>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A7DF7"/>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697"/>
    <w:rsid w:val="00AB6C44"/>
    <w:rsid w:val="00AB6CA0"/>
    <w:rsid w:val="00AB76D5"/>
    <w:rsid w:val="00AB7787"/>
    <w:rsid w:val="00AB78AC"/>
    <w:rsid w:val="00AB7913"/>
    <w:rsid w:val="00AB79A8"/>
    <w:rsid w:val="00AB7FCD"/>
    <w:rsid w:val="00AC0169"/>
    <w:rsid w:val="00AC0CC3"/>
    <w:rsid w:val="00AC1271"/>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2DD"/>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7CB"/>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2D0"/>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04B"/>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5D4"/>
    <w:rsid w:val="00B63870"/>
    <w:rsid w:val="00B640AB"/>
    <w:rsid w:val="00B64124"/>
    <w:rsid w:val="00B64398"/>
    <w:rsid w:val="00B64484"/>
    <w:rsid w:val="00B645F8"/>
    <w:rsid w:val="00B64A44"/>
    <w:rsid w:val="00B64F38"/>
    <w:rsid w:val="00B652B0"/>
    <w:rsid w:val="00B65771"/>
    <w:rsid w:val="00B66254"/>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3B9"/>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15C"/>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118"/>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08"/>
    <w:rsid w:val="00CC32B0"/>
    <w:rsid w:val="00CC34E2"/>
    <w:rsid w:val="00CC3983"/>
    <w:rsid w:val="00CC3D8D"/>
    <w:rsid w:val="00CC3E8C"/>
    <w:rsid w:val="00CC400F"/>
    <w:rsid w:val="00CC4365"/>
    <w:rsid w:val="00CC4C5E"/>
    <w:rsid w:val="00CC4C9E"/>
    <w:rsid w:val="00CC4CD7"/>
    <w:rsid w:val="00CC4F58"/>
    <w:rsid w:val="00CC57AE"/>
    <w:rsid w:val="00CC5AE0"/>
    <w:rsid w:val="00CC6051"/>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1F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21"/>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67E"/>
    <w:rsid w:val="00DA7A85"/>
    <w:rsid w:val="00DA7BC7"/>
    <w:rsid w:val="00DA7E4C"/>
    <w:rsid w:val="00DA7EC1"/>
    <w:rsid w:val="00DB0564"/>
    <w:rsid w:val="00DB0568"/>
    <w:rsid w:val="00DB0D5D"/>
    <w:rsid w:val="00DB0F35"/>
    <w:rsid w:val="00DB1539"/>
    <w:rsid w:val="00DB1F98"/>
    <w:rsid w:val="00DB227D"/>
    <w:rsid w:val="00DB235C"/>
    <w:rsid w:val="00DB23A1"/>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D1C"/>
    <w:rsid w:val="00DE5FDA"/>
    <w:rsid w:val="00DE61AA"/>
    <w:rsid w:val="00DE6634"/>
    <w:rsid w:val="00DE67AE"/>
    <w:rsid w:val="00DE6E12"/>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D08"/>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A1A"/>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8D7"/>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4C67"/>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15C"/>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2FA6"/>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104"/>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0C5"/>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C12"/>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444"/>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1FE8"/>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27"/>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842"/>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BD7848"/>
    <w:rsid w:val="0AFC60B7"/>
    <w:rsid w:val="0BAD7041"/>
    <w:rsid w:val="0C48621C"/>
    <w:rsid w:val="0C6F5654"/>
    <w:rsid w:val="0D132BA9"/>
    <w:rsid w:val="0D660AC2"/>
    <w:rsid w:val="0D672BF6"/>
    <w:rsid w:val="0E120AD5"/>
    <w:rsid w:val="0EB06FFE"/>
    <w:rsid w:val="10150A41"/>
    <w:rsid w:val="10544A4E"/>
    <w:rsid w:val="1257267A"/>
    <w:rsid w:val="12A472D8"/>
    <w:rsid w:val="12BA1C71"/>
    <w:rsid w:val="12FE321B"/>
    <w:rsid w:val="130859B8"/>
    <w:rsid w:val="141F2191"/>
    <w:rsid w:val="1575AEB2"/>
    <w:rsid w:val="164F7F6D"/>
    <w:rsid w:val="165E068A"/>
    <w:rsid w:val="16C32995"/>
    <w:rsid w:val="1702D3F2"/>
    <w:rsid w:val="174A2A64"/>
    <w:rsid w:val="188D2058"/>
    <w:rsid w:val="18955C5C"/>
    <w:rsid w:val="18BA7603"/>
    <w:rsid w:val="18FD3F86"/>
    <w:rsid w:val="192B740B"/>
    <w:rsid w:val="1A514204"/>
    <w:rsid w:val="1B2E6DC7"/>
    <w:rsid w:val="1B357BCB"/>
    <w:rsid w:val="1B5316CE"/>
    <w:rsid w:val="1B5E59D2"/>
    <w:rsid w:val="1C766428"/>
    <w:rsid w:val="1DD50930"/>
    <w:rsid w:val="1DF407BB"/>
    <w:rsid w:val="1E38003B"/>
    <w:rsid w:val="1EB96E9E"/>
    <w:rsid w:val="1F850095"/>
    <w:rsid w:val="1FB91CD0"/>
    <w:rsid w:val="20910CB1"/>
    <w:rsid w:val="209D5BDE"/>
    <w:rsid w:val="20CD42FE"/>
    <w:rsid w:val="21035A99"/>
    <w:rsid w:val="21282288"/>
    <w:rsid w:val="21FA2867"/>
    <w:rsid w:val="23680C07"/>
    <w:rsid w:val="239E142D"/>
    <w:rsid w:val="245870DE"/>
    <w:rsid w:val="247247A7"/>
    <w:rsid w:val="2473146A"/>
    <w:rsid w:val="27C5366D"/>
    <w:rsid w:val="27DD67CA"/>
    <w:rsid w:val="28690808"/>
    <w:rsid w:val="28B07E55"/>
    <w:rsid w:val="28B54AA2"/>
    <w:rsid w:val="29E343AC"/>
    <w:rsid w:val="2A0F0B23"/>
    <w:rsid w:val="2AFE2B7E"/>
    <w:rsid w:val="2D376513"/>
    <w:rsid w:val="2DC863F1"/>
    <w:rsid w:val="2E6879EE"/>
    <w:rsid w:val="2EB72406"/>
    <w:rsid w:val="2F2367DE"/>
    <w:rsid w:val="31542D3B"/>
    <w:rsid w:val="32832752"/>
    <w:rsid w:val="32FE23BF"/>
    <w:rsid w:val="330E6893"/>
    <w:rsid w:val="33DE0CB9"/>
    <w:rsid w:val="3511129D"/>
    <w:rsid w:val="356927F3"/>
    <w:rsid w:val="359455FE"/>
    <w:rsid w:val="36CD07B0"/>
    <w:rsid w:val="375C57D7"/>
    <w:rsid w:val="37DD651E"/>
    <w:rsid w:val="38BA113F"/>
    <w:rsid w:val="39D57D5E"/>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0670A2"/>
    <w:rsid w:val="4242619A"/>
    <w:rsid w:val="42B20782"/>
    <w:rsid w:val="44917C93"/>
    <w:rsid w:val="46D41E44"/>
    <w:rsid w:val="47AE2F53"/>
    <w:rsid w:val="496938E0"/>
    <w:rsid w:val="49882B35"/>
    <w:rsid w:val="4B3872E6"/>
    <w:rsid w:val="4BC2698A"/>
    <w:rsid w:val="4C3C786C"/>
    <w:rsid w:val="4CA149AE"/>
    <w:rsid w:val="4DF51404"/>
    <w:rsid w:val="4E5633F4"/>
    <w:rsid w:val="4E7740D9"/>
    <w:rsid w:val="4EAC0AFF"/>
    <w:rsid w:val="4EC2021D"/>
    <w:rsid w:val="4FA32A72"/>
    <w:rsid w:val="50FD13B2"/>
    <w:rsid w:val="52FE30BB"/>
    <w:rsid w:val="536E79E7"/>
    <w:rsid w:val="543E0FC0"/>
    <w:rsid w:val="54CE2507"/>
    <w:rsid w:val="55181CD2"/>
    <w:rsid w:val="55D01D97"/>
    <w:rsid w:val="56DD68A4"/>
    <w:rsid w:val="57244B18"/>
    <w:rsid w:val="57EF6871"/>
    <w:rsid w:val="58240039"/>
    <w:rsid w:val="595A121E"/>
    <w:rsid w:val="59C75644"/>
    <w:rsid w:val="5AF07FF7"/>
    <w:rsid w:val="5AF422E5"/>
    <w:rsid w:val="5AF82B4D"/>
    <w:rsid w:val="5BF26431"/>
    <w:rsid w:val="5BF56220"/>
    <w:rsid w:val="5E780DEA"/>
    <w:rsid w:val="5F631FA8"/>
    <w:rsid w:val="61846ED7"/>
    <w:rsid w:val="65507243"/>
    <w:rsid w:val="656027FF"/>
    <w:rsid w:val="66457E51"/>
    <w:rsid w:val="6680376E"/>
    <w:rsid w:val="66ED31EA"/>
    <w:rsid w:val="67D4666E"/>
    <w:rsid w:val="691A3243"/>
    <w:rsid w:val="696C42BB"/>
    <w:rsid w:val="698A6B0F"/>
    <w:rsid w:val="6A782EAA"/>
    <w:rsid w:val="6B704279"/>
    <w:rsid w:val="6D020EA1"/>
    <w:rsid w:val="6E0F1211"/>
    <w:rsid w:val="6E9A7650"/>
    <w:rsid w:val="6FBD0858"/>
    <w:rsid w:val="71CA3592"/>
    <w:rsid w:val="72E1752D"/>
    <w:rsid w:val="73A015C2"/>
    <w:rsid w:val="73A913CF"/>
    <w:rsid w:val="73EB1497"/>
    <w:rsid w:val="74000A47"/>
    <w:rsid w:val="745A1400"/>
    <w:rsid w:val="74885606"/>
    <w:rsid w:val="751115BE"/>
    <w:rsid w:val="75740E00"/>
    <w:rsid w:val="763A080C"/>
    <w:rsid w:val="76962597"/>
    <w:rsid w:val="76EB5B39"/>
    <w:rsid w:val="776F4F23"/>
    <w:rsid w:val="78156E78"/>
    <w:rsid w:val="782D5EAF"/>
    <w:rsid w:val="789F1175"/>
    <w:rsid w:val="78A164CB"/>
    <w:rsid w:val="7931734A"/>
    <w:rsid w:val="7ADB38D4"/>
    <w:rsid w:val="7C1F4C14"/>
    <w:rsid w:val="7C8C4BA7"/>
    <w:rsid w:val="7DD2691C"/>
    <w:rsid w:val="7E3563A1"/>
    <w:rsid w:val="7E9326F9"/>
    <w:rsid w:val="7EE20452"/>
    <w:rsid w:val="7F395D9C"/>
    <w:rsid w:val="7FCC0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A78B062-5B11-4150-8176-15D81B817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宋体"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eastAsia="宋体"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ascii="Times New Roman" w:eastAsia="宋体" w:hAnsi="Times New Roman"/>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pPr>
      <w:spacing w:before="100" w:beforeAutospacing="1" w:after="180"/>
    </w:pPr>
    <w:rPr>
      <w:rFonts w:ascii="Times New Roman" w:eastAsia="宋体" w:hAnsi="Times New Roman"/>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sid w:val="00CC3208"/>
    <w:rPr>
      <w:rFonts w:ascii="Times New Roman" w:eastAsia="Times New Roman" w:hAnsi="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70BC54-DC0F-4B8F-8076-D717D7DFE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4</Pages>
  <Words>1521</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10177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16</cp:revision>
  <cp:lastPrinted>2018-04-07T03:05:00Z</cp:lastPrinted>
  <dcterms:created xsi:type="dcterms:W3CDTF">2020-06-21T16:56:00Z</dcterms:created>
  <dcterms:modified xsi:type="dcterms:W3CDTF">2020-06-22T12:29:00Z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2052-11.8.2.8696</vt:lpwstr>
  </property>
</Properties>
</file>